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7827B43E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0752AE">
        <w:rPr>
          <w:rFonts w:ascii="Calibri" w:hAnsi="Calibri" w:cs="font459"/>
          <w:sz w:val="20"/>
          <w:szCs w:val="20"/>
        </w:rPr>
        <w:t>22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586CCB">
        <w:rPr>
          <w:rFonts w:ascii="Calibri" w:hAnsi="Calibri" w:cs="font459"/>
          <w:sz w:val="20"/>
          <w:szCs w:val="20"/>
        </w:rPr>
        <w:t>maart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0752AE">
        <w:rPr>
          <w:rFonts w:ascii="Calibri" w:hAnsi="Calibri" w:cs="font459"/>
          <w:sz w:val="20"/>
          <w:szCs w:val="20"/>
        </w:rPr>
        <w:t>3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1BD8F10A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586CCB">
        <w:rPr>
          <w:rFonts w:ascii="Calibri" w:hAnsi="Calibri" w:cs="font459"/>
          <w:sz w:val="20"/>
          <w:szCs w:val="20"/>
        </w:rPr>
        <w:t>4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633"/>
        <w:gridCol w:w="1985"/>
        <w:gridCol w:w="3685"/>
      </w:tblGrid>
      <w:tr w:rsidR="0025112D" w:rsidRPr="0025112D" w14:paraId="26F6E57D" w14:textId="359C5FDB" w:rsidTr="008D4BBE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1985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68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8D4BBE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1985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8D4BBE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8D4BBE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1985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F2B65D" w14:textId="3A43AE10" w:rsidR="00EF4DDF" w:rsidRPr="00586CCB" w:rsidRDefault="00EF4DDF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8D4BBE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1985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7CACCA88" w14:textId="77777777" w:rsidR="00F96FA8" w:rsidRPr="000B3D45" w:rsidRDefault="003339AE" w:rsidP="000B3D45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0B3D45">
              <w:rPr>
                <w:rFonts w:ascii="Calibri" w:hAnsi="Calibri"/>
                <w:sz w:val="20"/>
                <w:szCs w:val="20"/>
              </w:rPr>
              <w:t>Barbara heeft</w:t>
            </w:r>
            <w:r w:rsidR="00230513" w:rsidRPr="000B3D45">
              <w:rPr>
                <w:rFonts w:ascii="Calibri" w:hAnsi="Calibri"/>
                <w:sz w:val="20"/>
                <w:szCs w:val="20"/>
              </w:rPr>
              <w:t xml:space="preserve"> zich voorgesteld. Zij vervangt voor onbepaalde tijd </w:t>
            </w:r>
            <w:r w:rsidR="00DF0462" w:rsidRPr="000B3D45">
              <w:rPr>
                <w:rFonts w:ascii="Calibri" w:hAnsi="Calibri"/>
                <w:sz w:val="20"/>
                <w:szCs w:val="20"/>
              </w:rPr>
              <w:t>Carolien.</w:t>
            </w:r>
          </w:p>
          <w:p w14:paraId="1524A6DC" w14:textId="77777777" w:rsidR="00DF0462" w:rsidRPr="00F51ABC" w:rsidRDefault="00F96FA8" w:rsidP="00F51ABC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F51ABC">
              <w:rPr>
                <w:rFonts w:ascii="Calibri" w:hAnsi="Calibri"/>
                <w:sz w:val="20"/>
                <w:szCs w:val="20"/>
              </w:rPr>
              <w:t>Week van de lentekriebels</w:t>
            </w:r>
            <w:r w:rsidR="001312D1" w:rsidRPr="00F51ABC">
              <w:rPr>
                <w:rFonts w:ascii="Calibri" w:hAnsi="Calibri"/>
                <w:sz w:val="20"/>
                <w:szCs w:val="20"/>
              </w:rPr>
              <w:t xml:space="preserve"> deze week.</w:t>
            </w:r>
          </w:p>
          <w:p w14:paraId="0CE1DA48" w14:textId="3CD2CEDE" w:rsidR="002A1FF3" w:rsidRPr="00F51ABC" w:rsidRDefault="009C65CC" w:rsidP="00F51ABC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F51ABC">
              <w:rPr>
                <w:rFonts w:ascii="Calibri" w:hAnsi="Calibri"/>
                <w:sz w:val="20"/>
                <w:szCs w:val="20"/>
              </w:rPr>
              <w:t>Nieuwe o</w:t>
            </w:r>
            <w:r w:rsidR="001B1EB6" w:rsidRPr="00F51ABC">
              <w:rPr>
                <w:rFonts w:ascii="Calibri" w:hAnsi="Calibri"/>
                <w:sz w:val="20"/>
                <w:szCs w:val="20"/>
              </w:rPr>
              <w:t>nderwijsass</w:t>
            </w:r>
            <w:r w:rsidRPr="00F51ABC">
              <w:rPr>
                <w:rFonts w:ascii="Calibri" w:hAnsi="Calibri"/>
                <w:sz w:val="20"/>
                <w:szCs w:val="20"/>
              </w:rPr>
              <w:t>is</w:t>
            </w:r>
            <w:r w:rsidR="001B1EB6" w:rsidRPr="00F51ABC">
              <w:rPr>
                <w:rFonts w:ascii="Calibri" w:hAnsi="Calibri"/>
                <w:sz w:val="20"/>
                <w:szCs w:val="20"/>
              </w:rPr>
              <w:t xml:space="preserve">tent vorige week begonnen, maar met </w:t>
            </w:r>
            <w:r w:rsidR="001970D1" w:rsidRPr="00F51ABC">
              <w:rPr>
                <w:rFonts w:ascii="Calibri" w:hAnsi="Calibri"/>
                <w:sz w:val="20"/>
                <w:szCs w:val="20"/>
              </w:rPr>
              <w:t>skiën</w:t>
            </w:r>
            <w:r w:rsidR="001B1EB6" w:rsidRPr="00F51ABC">
              <w:rPr>
                <w:rFonts w:ascii="Calibri" w:hAnsi="Calibri"/>
                <w:sz w:val="20"/>
                <w:szCs w:val="20"/>
              </w:rPr>
              <w:t xml:space="preserve"> kruisband beschadigd en moet nu rust houden</w:t>
            </w:r>
            <w:r w:rsidRPr="00F51ABC">
              <w:rPr>
                <w:rFonts w:ascii="Calibri" w:hAnsi="Calibri"/>
                <w:sz w:val="20"/>
                <w:szCs w:val="20"/>
              </w:rPr>
              <w:t>.</w:t>
            </w:r>
            <w:r w:rsidR="00F51ABC">
              <w:rPr>
                <w:rFonts w:ascii="Calibri" w:hAnsi="Calibri"/>
                <w:sz w:val="20"/>
                <w:szCs w:val="20"/>
              </w:rPr>
              <w:t xml:space="preserve"> Kan redelijk goed </w:t>
            </w:r>
            <w:r w:rsidR="002A752E">
              <w:rPr>
                <w:rFonts w:ascii="Calibri" w:hAnsi="Calibri"/>
                <w:sz w:val="20"/>
                <w:szCs w:val="20"/>
              </w:rPr>
              <w:t>intern opgevangen worden.</w:t>
            </w:r>
          </w:p>
        </w:tc>
      </w:tr>
      <w:tr w:rsidR="000F1A30" w14:paraId="27AD59C2" w14:textId="77777777" w:rsidTr="008D4BBE">
        <w:tc>
          <w:tcPr>
            <w:tcW w:w="473" w:type="dxa"/>
          </w:tcPr>
          <w:p w14:paraId="34DB2D5A" w14:textId="7622E994" w:rsidR="000F1A30" w:rsidRDefault="0032210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3" w:type="dxa"/>
          </w:tcPr>
          <w:p w14:paraId="5767A6D7" w14:textId="7527ED12" w:rsidR="000F1A30" w:rsidRPr="001033C3" w:rsidRDefault="000F1A3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 groepsverdeling/formatieplan volgend schooljaar (v</w:t>
            </w:r>
            <w:r w:rsidR="0032210D">
              <w:rPr>
                <w:rFonts w:ascii="Calibri" w:hAnsi="Calibri" w:cs="Calibri"/>
                <w:sz w:val="20"/>
                <w:szCs w:val="20"/>
              </w:rPr>
              <w:t>óó</w:t>
            </w:r>
            <w:r w:rsidR="0032210D">
              <w:rPr>
                <w:rFonts w:ascii="Calibri" w:hAnsi="Calibri"/>
                <w:sz w:val="20"/>
                <w:szCs w:val="20"/>
              </w:rPr>
              <w:t>r 1-5 vaststellen)</w:t>
            </w:r>
          </w:p>
        </w:tc>
        <w:tc>
          <w:tcPr>
            <w:tcW w:w="1985" w:type="dxa"/>
          </w:tcPr>
          <w:p w14:paraId="3E787B72" w14:textId="678494B7" w:rsidR="000F1A30" w:rsidRDefault="000F1A3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</w:t>
            </w:r>
          </w:p>
        </w:tc>
        <w:tc>
          <w:tcPr>
            <w:tcW w:w="3685" w:type="dxa"/>
          </w:tcPr>
          <w:p w14:paraId="2F248920" w14:textId="405925BE" w:rsidR="000F1A30" w:rsidRPr="0032210D" w:rsidRDefault="000F1A30" w:rsidP="0032210D">
            <w:pPr>
              <w:rPr>
                <w:rFonts w:ascii="Calibri" w:hAnsi="Calibri"/>
                <w:sz w:val="20"/>
                <w:szCs w:val="20"/>
              </w:rPr>
            </w:pPr>
            <w:r w:rsidRPr="0032210D">
              <w:rPr>
                <w:rFonts w:ascii="Calibri" w:hAnsi="Calibri"/>
                <w:sz w:val="20"/>
                <w:szCs w:val="20"/>
              </w:rPr>
              <w:t>Unit onderwijs zal waarschijnlijk gewoon doorgang vinden. De onderlinge verdeling zal deels afhankelijk zijn van de groepsverdeling en het aantal leerlingen per unit volgen schooljaar. Wordt volgende MR definitief gemaakt.</w:t>
            </w:r>
          </w:p>
        </w:tc>
      </w:tr>
      <w:tr w:rsidR="00052C82" w14:paraId="1615FD8B" w14:textId="77777777" w:rsidTr="008D4BBE">
        <w:tc>
          <w:tcPr>
            <w:tcW w:w="473" w:type="dxa"/>
          </w:tcPr>
          <w:p w14:paraId="13D11931" w14:textId="33AD7DB6" w:rsidR="00052C82" w:rsidRDefault="00605458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33" w:type="dxa"/>
          </w:tcPr>
          <w:p w14:paraId="57C01795" w14:textId="5F3D4678" w:rsidR="00052C82" w:rsidRDefault="00010DDF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Urenverantwoording/vakantieplanning</w:t>
            </w:r>
          </w:p>
        </w:tc>
        <w:tc>
          <w:tcPr>
            <w:tcW w:w="1985" w:type="dxa"/>
          </w:tcPr>
          <w:p w14:paraId="7F55A477" w14:textId="52933CC5" w:rsidR="00052C82" w:rsidRDefault="00010DDF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6D2D2E2" w14:textId="21BC812A" w:rsidR="00052C82" w:rsidRDefault="00EB1BDA" w:rsidP="00770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Rooster schoolwek</w:t>
            </w:r>
            <w:r w:rsidR="00A64811">
              <w:rPr>
                <w:rFonts w:ascii="Calibri" w:hAnsi="Calibri"/>
                <w:sz w:val="20"/>
                <w:szCs w:val="20"/>
              </w:rPr>
              <w:t xml:space="preserve">en 2023-2024 wordt toegelicht, inclusief de </w:t>
            </w:r>
            <w:r w:rsidR="00C1015B">
              <w:rPr>
                <w:rFonts w:ascii="Calibri" w:hAnsi="Calibri"/>
                <w:sz w:val="20"/>
                <w:szCs w:val="20"/>
              </w:rPr>
              <w:t xml:space="preserve">geplande vakanties. </w:t>
            </w:r>
            <w:r w:rsidR="00180715">
              <w:rPr>
                <w:rFonts w:ascii="Calibri" w:hAnsi="Calibri"/>
                <w:sz w:val="20"/>
                <w:szCs w:val="20"/>
              </w:rPr>
              <w:t>Studiedagen moeten (behalve</w:t>
            </w:r>
            <w:r w:rsidR="005D730C">
              <w:rPr>
                <w:rFonts w:ascii="Calibri" w:hAnsi="Calibri"/>
                <w:sz w:val="20"/>
                <w:szCs w:val="20"/>
              </w:rPr>
              <w:t xml:space="preserve"> 5 oktober</w:t>
            </w:r>
            <w:r w:rsidR="00605458">
              <w:rPr>
                <w:rFonts w:ascii="Calibri" w:hAnsi="Calibri"/>
                <w:sz w:val="20"/>
                <w:szCs w:val="20"/>
              </w:rPr>
              <w:t>,</w:t>
            </w:r>
            <w:r w:rsidR="005D730C">
              <w:rPr>
                <w:rFonts w:ascii="Calibri" w:hAnsi="Calibri"/>
                <w:sz w:val="20"/>
                <w:szCs w:val="20"/>
              </w:rPr>
              <w:t xml:space="preserve"> die is vast) nog ingepland worden. Als dat gedaan is komt deze terug in MR5 op 10-5-2023.</w:t>
            </w:r>
            <w:r w:rsidR="00DE7DBD">
              <w:rPr>
                <w:rFonts w:ascii="Calibri" w:hAnsi="Calibri"/>
                <w:sz w:val="20"/>
                <w:szCs w:val="20"/>
              </w:rPr>
              <w:t xml:space="preserve"> Instemmingsrecht PMR.</w:t>
            </w:r>
          </w:p>
          <w:p w14:paraId="1393544E" w14:textId="64316A95" w:rsidR="00275D23" w:rsidRPr="006F6909" w:rsidRDefault="00275D23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14:paraId="40541271" w14:textId="77777777" w:rsidTr="008D4BBE">
        <w:tc>
          <w:tcPr>
            <w:tcW w:w="473" w:type="dxa"/>
          </w:tcPr>
          <w:p w14:paraId="0967D675" w14:textId="5D56D83E" w:rsidR="002D1497" w:rsidRDefault="002D1497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33" w:type="dxa"/>
          </w:tcPr>
          <w:p w14:paraId="6F9B04C4" w14:textId="3CC61652" w:rsidR="002D1497" w:rsidRPr="001033C3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update voortgang IKC West 2021/2022</w:t>
            </w:r>
          </w:p>
        </w:tc>
        <w:tc>
          <w:tcPr>
            <w:tcW w:w="1985" w:type="dxa"/>
          </w:tcPr>
          <w:p w14:paraId="2912D13C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1F1B25A" w14:textId="20EFF283" w:rsidR="002D1497" w:rsidRPr="006F6909" w:rsidRDefault="002D1497" w:rsidP="00770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Lambert (directeur KC de Aventur</w:t>
            </w:r>
            <w:r w:rsidR="007F6E44">
              <w:rPr>
                <w:rFonts w:ascii="Calibri" w:hAnsi="Calibri"/>
                <w:sz w:val="20"/>
                <w:szCs w:val="20"/>
              </w:rPr>
              <w:t>ijn</w:t>
            </w:r>
            <w:r>
              <w:rPr>
                <w:rFonts w:ascii="Calibri" w:hAnsi="Calibri"/>
                <w:sz w:val="20"/>
                <w:szCs w:val="20"/>
              </w:rPr>
              <w:t>) gaat weg per 1 mei. Vervanging voor Carolien en Lambert v.w.b. de nieuwbouw en inrichting van IKC West</w:t>
            </w:r>
            <w:r w:rsidR="00122AA5">
              <w:rPr>
                <w:rFonts w:ascii="Calibri" w:hAnsi="Calibri"/>
                <w:sz w:val="20"/>
                <w:szCs w:val="20"/>
              </w:rPr>
              <w:t xml:space="preserve"> is er nog niet</w:t>
            </w:r>
            <w:r>
              <w:rPr>
                <w:rFonts w:ascii="Calibri" w:hAnsi="Calibri"/>
                <w:sz w:val="20"/>
                <w:szCs w:val="20"/>
              </w:rPr>
              <w:t>. Kandidaat binnen SAAM wel op het oog, maar nog niet officieel.</w:t>
            </w:r>
            <w:r w:rsidR="009D3D95">
              <w:rPr>
                <w:rFonts w:ascii="Calibri" w:hAnsi="Calibri"/>
                <w:sz w:val="20"/>
                <w:szCs w:val="20"/>
              </w:rPr>
              <w:t xml:space="preserve"> Leerkrachten IKC De Klimboom</w:t>
            </w:r>
            <w:r w:rsidR="003507EC">
              <w:rPr>
                <w:rFonts w:ascii="Calibri" w:hAnsi="Calibri"/>
                <w:sz w:val="20"/>
                <w:szCs w:val="20"/>
              </w:rPr>
              <w:t xml:space="preserve"> gaan ook nog naar het Aventurijn kijken. Nieuwe datum staat</w:t>
            </w:r>
            <w:r w:rsidR="00BD18E5">
              <w:rPr>
                <w:rFonts w:ascii="Calibri" w:hAnsi="Calibri"/>
                <w:sz w:val="20"/>
                <w:szCs w:val="20"/>
              </w:rPr>
              <w:t xml:space="preserve"> voorlopig</w:t>
            </w:r>
            <w:r w:rsidR="003507EC">
              <w:rPr>
                <w:rFonts w:ascii="Calibri" w:hAnsi="Calibri"/>
                <w:sz w:val="20"/>
                <w:szCs w:val="20"/>
              </w:rPr>
              <w:t xml:space="preserve"> op 31-5 gepland in 2 shiften</w:t>
            </w:r>
            <w:r w:rsidR="00BD18E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3430F" w14:paraId="40EB6EAB" w14:textId="77777777" w:rsidTr="008D4BBE">
        <w:tc>
          <w:tcPr>
            <w:tcW w:w="473" w:type="dxa"/>
          </w:tcPr>
          <w:p w14:paraId="2EE364B6" w14:textId="77777777" w:rsidR="0013430F" w:rsidRDefault="0013430F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49B70BB" w14:textId="77777777" w:rsidR="0013430F" w:rsidRDefault="0013430F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40B53D" w14:textId="77777777" w:rsidR="0013430F" w:rsidRDefault="0013430F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75AFF0" w14:textId="77777777" w:rsidR="0013430F" w:rsidRDefault="0013430F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:rsidRPr="0025112D" w14:paraId="26DCF404" w14:textId="77777777" w:rsidTr="008D4BBE">
        <w:tc>
          <w:tcPr>
            <w:tcW w:w="473" w:type="dxa"/>
          </w:tcPr>
          <w:p w14:paraId="68CD314E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22E97958" w14:textId="141300D4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1985" w:type="dxa"/>
          </w:tcPr>
          <w:p w14:paraId="71E0F00B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65D659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1497" w14:paraId="4CEB6F63" w14:textId="788ADB98" w:rsidTr="008D4BBE">
        <w:tc>
          <w:tcPr>
            <w:tcW w:w="473" w:type="dxa"/>
          </w:tcPr>
          <w:p w14:paraId="31968BC9" w14:textId="47BA9E4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33" w:type="dxa"/>
          </w:tcPr>
          <w:p w14:paraId="777D7336" w14:textId="1B58935C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1985" w:type="dxa"/>
          </w:tcPr>
          <w:p w14:paraId="22B9CC9D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173E26" w14:textId="046F4E08" w:rsidR="002D1497" w:rsidRDefault="00A6260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Geen</w:t>
            </w:r>
            <w:r w:rsidR="0000737F">
              <w:rPr>
                <w:rFonts w:ascii="Calibri" w:hAnsi="Calibri"/>
                <w:sz w:val="20"/>
                <w:szCs w:val="20"/>
              </w:rPr>
              <w:t xml:space="preserve"> nieuws.</w:t>
            </w:r>
          </w:p>
        </w:tc>
      </w:tr>
      <w:tr w:rsidR="0013430F" w14:paraId="074F2E2C" w14:textId="77777777" w:rsidTr="008D4BBE">
        <w:tc>
          <w:tcPr>
            <w:tcW w:w="473" w:type="dxa"/>
          </w:tcPr>
          <w:p w14:paraId="2184235B" w14:textId="77777777" w:rsidR="0013430F" w:rsidRDefault="0013430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54D1014" w14:textId="77777777" w:rsidR="0013430F" w:rsidRDefault="0013430F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6ECE0B" w14:textId="77777777" w:rsidR="0013430F" w:rsidRDefault="0013430F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E362B9" w14:textId="77777777" w:rsidR="0013430F" w:rsidRDefault="0013430F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FC93A4" w14:textId="7506D72F" w:rsidR="008D4BBE" w:rsidRDefault="008D4BBE" w:rsidP="00594C47">
      <w:pPr>
        <w:rPr>
          <w:rFonts w:ascii="Calibri" w:hAnsi="Calibri"/>
          <w:sz w:val="20"/>
          <w:szCs w:val="20"/>
        </w:rPr>
      </w:pPr>
    </w:p>
    <w:p w14:paraId="227A0E3A" w14:textId="77777777" w:rsidR="008D4BBE" w:rsidRDefault="008D4BBE">
      <w:pPr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lastRenderedPageBreak/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FC40F2">
        <w:trPr>
          <w:trHeight w:val="154"/>
        </w:trPr>
        <w:tc>
          <w:tcPr>
            <w:tcW w:w="468" w:type="dxa"/>
          </w:tcPr>
          <w:p w14:paraId="21AAEE6A" w14:textId="6B8FD64F" w:rsidR="00707E31" w:rsidRPr="00E0463C" w:rsidRDefault="00B34213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6661AEC2" w14:textId="77777777" w:rsidR="00707E31" w:rsidRDefault="00B3421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Reviewen jaarplanning MR (agenda</w:t>
            </w:r>
            <w:r w:rsidR="00C62B6D">
              <w:rPr>
                <w:rFonts w:ascii="Calibri" w:hAnsi="Calibri"/>
                <w:sz w:val="20"/>
                <w:szCs w:val="20"/>
              </w:rPr>
              <w:t>punten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8ED8E11" w14:textId="651AFCF2" w:rsidR="00D2271D" w:rsidRPr="00F257A7" w:rsidRDefault="006440CA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Jaarplanning (oud) doorsturen aan Barbara</w:t>
            </w:r>
          </w:p>
        </w:tc>
        <w:tc>
          <w:tcPr>
            <w:tcW w:w="1843" w:type="dxa"/>
            <w:shd w:val="clear" w:color="auto" w:fill="auto"/>
          </w:tcPr>
          <w:p w14:paraId="7C70077A" w14:textId="3D460051" w:rsidR="00707E31" w:rsidRPr="00F257A7" w:rsidRDefault="000B1B1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70DBC356" w14:textId="6D366675" w:rsidR="00707E31" w:rsidRPr="00F257A7" w:rsidRDefault="00C62B6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Laatste MR(6)</w:t>
            </w:r>
          </w:p>
        </w:tc>
        <w:tc>
          <w:tcPr>
            <w:tcW w:w="1522" w:type="dxa"/>
            <w:shd w:val="clear" w:color="auto" w:fill="auto"/>
          </w:tcPr>
          <w:p w14:paraId="39E1A95D" w14:textId="3F6DA0CD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07F2A954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797AB87" w14:textId="0CD9508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438628D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B9C2227" w14:textId="77777777" w:rsidR="00FD2ED0" w:rsidRPr="0071748B" w:rsidRDefault="00FD2ED0" w:rsidP="00FD2ED0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2ED0" w:rsidRPr="0087258C" w14:paraId="68EED799" w14:textId="77777777" w:rsidTr="00C44B97">
        <w:tc>
          <w:tcPr>
            <w:tcW w:w="1812" w:type="dxa"/>
          </w:tcPr>
          <w:p w14:paraId="2FD7312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6D863A53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51787E15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1689D641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40ED414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FD2ED0" w14:paraId="35DDFB42" w14:textId="77777777" w:rsidTr="00C44B97">
        <w:tc>
          <w:tcPr>
            <w:tcW w:w="1812" w:type="dxa"/>
          </w:tcPr>
          <w:p w14:paraId="2DD2045D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6CFE405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0F67023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813" w:type="dxa"/>
          </w:tcPr>
          <w:p w14:paraId="3938F3B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1-9-2024</w:t>
            </w:r>
          </w:p>
        </w:tc>
        <w:tc>
          <w:tcPr>
            <w:tcW w:w="1813" w:type="dxa"/>
          </w:tcPr>
          <w:p w14:paraId="58EA76D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5B6B6E46" w14:textId="77777777" w:rsidTr="00C44B97">
        <w:tc>
          <w:tcPr>
            <w:tcW w:w="1812" w:type="dxa"/>
          </w:tcPr>
          <w:p w14:paraId="1FFCF50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4652115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557149F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1-7-2021</w:t>
            </w:r>
          </w:p>
        </w:tc>
        <w:tc>
          <w:tcPr>
            <w:tcW w:w="1813" w:type="dxa"/>
          </w:tcPr>
          <w:p w14:paraId="762E99FC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1-7-2024</w:t>
            </w:r>
          </w:p>
        </w:tc>
        <w:tc>
          <w:tcPr>
            <w:tcW w:w="1813" w:type="dxa"/>
          </w:tcPr>
          <w:p w14:paraId="74D646EA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2FD0FFFC" w14:textId="77777777" w:rsidTr="00C44B97">
        <w:tc>
          <w:tcPr>
            <w:tcW w:w="1812" w:type="dxa"/>
          </w:tcPr>
          <w:p w14:paraId="4372699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1749B0DB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011283B9" w14:textId="7618DBE8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1813" w:type="dxa"/>
          </w:tcPr>
          <w:p w14:paraId="3E541298" w14:textId="06F6199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1-9-2025</w:t>
            </w:r>
          </w:p>
        </w:tc>
        <w:tc>
          <w:tcPr>
            <w:tcW w:w="1813" w:type="dxa"/>
          </w:tcPr>
          <w:p w14:paraId="3A5A2883" w14:textId="315E3D3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7FC346D3" w14:textId="77777777" w:rsidTr="00C44B97">
        <w:tc>
          <w:tcPr>
            <w:tcW w:w="1812" w:type="dxa"/>
          </w:tcPr>
          <w:p w14:paraId="7FF92A94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14E36D46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73E3D37E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06358A6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1-4-2024</w:t>
            </w:r>
          </w:p>
        </w:tc>
        <w:tc>
          <w:tcPr>
            <w:tcW w:w="1813" w:type="dxa"/>
          </w:tcPr>
          <w:p w14:paraId="4F0B4E2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F546" w14:textId="77777777" w:rsidR="00FB12C3" w:rsidRDefault="00FB12C3">
      <w:r>
        <w:separator/>
      </w:r>
    </w:p>
  </w:endnote>
  <w:endnote w:type="continuationSeparator" w:id="0">
    <w:p w14:paraId="20D3D92F" w14:textId="77777777" w:rsidR="00FB12C3" w:rsidRDefault="00FB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5E80" w14:textId="77777777" w:rsidR="00FB12C3" w:rsidRDefault="00FB12C3">
      <w:r>
        <w:separator/>
      </w:r>
    </w:p>
  </w:footnote>
  <w:footnote w:type="continuationSeparator" w:id="0">
    <w:p w14:paraId="1D549682" w14:textId="77777777" w:rsidR="00FB12C3" w:rsidRDefault="00FB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504CE52B" w:rsidR="004F5495" w:rsidRDefault="008D4EBA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Notulen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2ED"/>
    <w:multiLevelType w:val="hybridMultilevel"/>
    <w:tmpl w:val="6B646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44BF8"/>
    <w:multiLevelType w:val="hybridMultilevel"/>
    <w:tmpl w:val="C52CD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6232">
    <w:abstractNumId w:val="5"/>
  </w:num>
  <w:num w:numId="2" w16cid:durableId="951328965">
    <w:abstractNumId w:val="3"/>
  </w:num>
  <w:num w:numId="3" w16cid:durableId="27462664">
    <w:abstractNumId w:val="7"/>
  </w:num>
  <w:num w:numId="4" w16cid:durableId="926311563">
    <w:abstractNumId w:val="9"/>
  </w:num>
  <w:num w:numId="5" w16cid:durableId="1400204280">
    <w:abstractNumId w:val="1"/>
  </w:num>
  <w:num w:numId="6" w16cid:durableId="1616013749">
    <w:abstractNumId w:val="4"/>
  </w:num>
  <w:num w:numId="7" w16cid:durableId="547452173">
    <w:abstractNumId w:val="2"/>
  </w:num>
  <w:num w:numId="8" w16cid:durableId="1971671528">
    <w:abstractNumId w:val="0"/>
  </w:num>
  <w:num w:numId="9" w16cid:durableId="878930076">
    <w:abstractNumId w:val="10"/>
  </w:num>
  <w:num w:numId="10" w16cid:durableId="629290406">
    <w:abstractNumId w:val="8"/>
  </w:num>
  <w:num w:numId="11" w16cid:durableId="1410733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0737F"/>
    <w:rsid w:val="00010DDF"/>
    <w:rsid w:val="00014931"/>
    <w:rsid w:val="00027197"/>
    <w:rsid w:val="00042033"/>
    <w:rsid w:val="00050544"/>
    <w:rsid w:val="00052C82"/>
    <w:rsid w:val="00056274"/>
    <w:rsid w:val="00065BB1"/>
    <w:rsid w:val="000661AA"/>
    <w:rsid w:val="000715F8"/>
    <w:rsid w:val="00074A44"/>
    <w:rsid w:val="000752AE"/>
    <w:rsid w:val="0008384F"/>
    <w:rsid w:val="000910FF"/>
    <w:rsid w:val="000B1B12"/>
    <w:rsid w:val="000B3D45"/>
    <w:rsid w:val="000C62B7"/>
    <w:rsid w:val="000D3779"/>
    <w:rsid w:val="000D3795"/>
    <w:rsid w:val="000D5231"/>
    <w:rsid w:val="000E3C79"/>
    <w:rsid w:val="000F0C65"/>
    <w:rsid w:val="000F1A30"/>
    <w:rsid w:val="001033C3"/>
    <w:rsid w:val="00114551"/>
    <w:rsid w:val="001167C0"/>
    <w:rsid w:val="00122AA5"/>
    <w:rsid w:val="00124462"/>
    <w:rsid w:val="00126452"/>
    <w:rsid w:val="001312D1"/>
    <w:rsid w:val="0013430F"/>
    <w:rsid w:val="001366DE"/>
    <w:rsid w:val="001378EF"/>
    <w:rsid w:val="00147691"/>
    <w:rsid w:val="001523D6"/>
    <w:rsid w:val="00153F28"/>
    <w:rsid w:val="001577CC"/>
    <w:rsid w:val="001616B4"/>
    <w:rsid w:val="001658DF"/>
    <w:rsid w:val="001806C1"/>
    <w:rsid w:val="00180715"/>
    <w:rsid w:val="00181FDC"/>
    <w:rsid w:val="00182144"/>
    <w:rsid w:val="00185564"/>
    <w:rsid w:val="00192113"/>
    <w:rsid w:val="001970D1"/>
    <w:rsid w:val="001B1EB6"/>
    <w:rsid w:val="001D2486"/>
    <w:rsid w:val="001D61F9"/>
    <w:rsid w:val="001E7CB5"/>
    <w:rsid w:val="001F30C8"/>
    <w:rsid w:val="002029F8"/>
    <w:rsid w:val="00214ED1"/>
    <w:rsid w:val="00226874"/>
    <w:rsid w:val="00230513"/>
    <w:rsid w:val="00234B81"/>
    <w:rsid w:val="00247EA5"/>
    <w:rsid w:val="0025051F"/>
    <w:rsid w:val="0025112D"/>
    <w:rsid w:val="00254135"/>
    <w:rsid w:val="00256956"/>
    <w:rsid w:val="00275D23"/>
    <w:rsid w:val="00281524"/>
    <w:rsid w:val="00282CE1"/>
    <w:rsid w:val="00284F21"/>
    <w:rsid w:val="00296B28"/>
    <w:rsid w:val="00297ADB"/>
    <w:rsid w:val="002A1FF3"/>
    <w:rsid w:val="002A752E"/>
    <w:rsid w:val="002C18C0"/>
    <w:rsid w:val="002D1497"/>
    <w:rsid w:val="002F4292"/>
    <w:rsid w:val="00302625"/>
    <w:rsid w:val="00305B1B"/>
    <w:rsid w:val="00305C13"/>
    <w:rsid w:val="003106C7"/>
    <w:rsid w:val="0032210D"/>
    <w:rsid w:val="0033315C"/>
    <w:rsid w:val="003339AE"/>
    <w:rsid w:val="003507EC"/>
    <w:rsid w:val="00360D4E"/>
    <w:rsid w:val="00366428"/>
    <w:rsid w:val="003750AB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12F42"/>
    <w:rsid w:val="00430A3F"/>
    <w:rsid w:val="00444182"/>
    <w:rsid w:val="00451D00"/>
    <w:rsid w:val="00465F83"/>
    <w:rsid w:val="00497F8F"/>
    <w:rsid w:val="004A3600"/>
    <w:rsid w:val="004B4E38"/>
    <w:rsid w:val="004B7D3B"/>
    <w:rsid w:val="004D5537"/>
    <w:rsid w:val="004F5495"/>
    <w:rsid w:val="005012EC"/>
    <w:rsid w:val="00503E3D"/>
    <w:rsid w:val="00504B04"/>
    <w:rsid w:val="00520AD4"/>
    <w:rsid w:val="00531B58"/>
    <w:rsid w:val="00532A7E"/>
    <w:rsid w:val="0053307E"/>
    <w:rsid w:val="005352E9"/>
    <w:rsid w:val="00543593"/>
    <w:rsid w:val="00547B31"/>
    <w:rsid w:val="00554914"/>
    <w:rsid w:val="00556A7C"/>
    <w:rsid w:val="005825CB"/>
    <w:rsid w:val="00584F17"/>
    <w:rsid w:val="00586CCB"/>
    <w:rsid w:val="00591B82"/>
    <w:rsid w:val="00594C47"/>
    <w:rsid w:val="005A163B"/>
    <w:rsid w:val="005B0781"/>
    <w:rsid w:val="005B5B7C"/>
    <w:rsid w:val="005D3D85"/>
    <w:rsid w:val="005D730C"/>
    <w:rsid w:val="005E3A0F"/>
    <w:rsid w:val="005F45FB"/>
    <w:rsid w:val="005F462A"/>
    <w:rsid w:val="00602E32"/>
    <w:rsid w:val="00605404"/>
    <w:rsid w:val="00605458"/>
    <w:rsid w:val="00611F06"/>
    <w:rsid w:val="006178A3"/>
    <w:rsid w:val="006308ED"/>
    <w:rsid w:val="006423F5"/>
    <w:rsid w:val="006440CA"/>
    <w:rsid w:val="00644B69"/>
    <w:rsid w:val="00651DD6"/>
    <w:rsid w:val="00665373"/>
    <w:rsid w:val="00672B76"/>
    <w:rsid w:val="00672EDB"/>
    <w:rsid w:val="00680D9C"/>
    <w:rsid w:val="00681C92"/>
    <w:rsid w:val="006837F8"/>
    <w:rsid w:val="0068401A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70E8F"/>
    <w:rsid w:val="0077382E"/>
    <w:rsid w:val="007754D6"/>
    <w:rsid w:val="0078291B"/>
    <w:rsid w:val="00786378"/>
    <w:rsid w:val="00795658"/>
    <w:rsid w:val="007A2321"/>
    <w:rsid w:val="007C61EA"/>
    <w:rsid w:val="007C671E"/>
    <w:rsid w:val="007E1F26"/>
    <w:rsid w:val="007E31A5"/>
    <w:rsid w:val="007E7090"/>
    <w:rsid w:val="007F1FD8"/>
    <w:rsid w:val="007F6E44"/>
    <w:rsid w:val="00802A0F"/>
    <w:rsid w:val="00803232"/>
    <w:rsid w:val="00814D7E"/>
    <w:rsid w:val="0081782A"/>
    <w:rsid w:val="008178D1"/>
    <w:rsid w:val="00820647"/>
    <w:rsid w:val="00820EDD"/>
    <w:rsid w:val="00830277"/>
    <w:rsid w:val="008510B1"/>
    <w:rsid w:val="00862706"/>
    <w:rsid w:val="008679E0"/>
    <w:rsid w:val="00870A78"/>
    <w:rsid w:val="0087258C"/>
    <w:rsid w:val="00874E99"/>
    <w:rsid w:val="008755F7"/>
    <w:rsid w:val="008905E5"/>
    <w:rsid w:val="008A15C1"/>
    <w:rsid w:val="008B7701"/>
    <w:rsid w:val="008D4BBE"/>
    <w:rsid w:val="008D4EBA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5524B"/>
    <w:rsid w:val="009A6D58"/>
    <w:rsid w:val="009C65CC"/>
    <w:rsid w:val="009D1331"/>
    <w:rsid w:val="009D2D99"/>
    <w:rsid w:val="009D3D95"/>
    <w:rsid w:val="009F1C77"/>
    <w:rsid w:val="00A157C2"/>
    <w:rsid w:val="00A24B63"/>
    <w:rsid w:val="00A41FB2"/>
    <w:rsid w:val="00A4516D"/>
    <w:rsid w:val="00A516F2"/>
    <w:rsid w:val="00A62603"/>
    <w:rsid w:val="00A64811"/>
    <w:rsid w:val="00A71B56"/>
    <w:rsid w:val="00A74DFD"/>
    <w:rsid w:val="00AB28D6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17969"/>
    <w:rsid w:val="00B34213"/>
    <w:rsid w:val="00B35A43"/>
    <w:rsid w:val="00B4199C"/>
    <w:rsid w:val="00B46B12"/>
    <w:rsid w:val="00B5048C"/>
    <w:rsid w:val="00B5268F"/>
    <w:rsid w:val="00B532F8"/>
    <w:rsid w:val="00B56AE8"/>
    <w:rsid w:val="00B869FB"/>
    <w:rsid w:val="00B86B8E"/>
    <w:rsid w:val="00BB69D3"/>
    <w:rsid w:val="00BB6C2F"/>
    <w:rsid w:val="00BC3495"/>
    <w:rsid w:val="00BC5D71"/>
    <w:rsid w:val="00BD0358"/>
    <w:rsid w:val="00BD18E5"/>
    <w:rsid w:val="00BF08CE"/>
    <w:rsid w:val="00BF2CA0"/>
    <w:rsid w:val="00BF67FA"/>
    <w:rsid w:val="00C1015B"/>
    <w:rsid w:val="00C14F85"/>
    <w:rsid w:val="00C156FF"/>
    <w:rsid w:val="00C20DD9"/>
    <w:rsid w:val="00C366C8"/>
    <w:rsid w:val="00C53986"/>
    <w:rsid w:val="00C6060D"/>
    <w:rsid w:val="00C62B6D"/>
    <w:rsid w:val="00C71825"/>
    <w:rsid w:val="00C7191E"/>
    <w:rsid w:val="00C844EB"/>
    <w:rsid w:val="00CA2585"/>
    <w:rsid w:val="00CB0965"/>
    <w:rsid w:val="00CB2B2C"/>
    <w:rsid w:val="00CE017F"/>
    <w:rsid w:val="00CE1FB0"/>
    <w:rsid w:val="00D2271D"/>
    <w:rsid w:val="00D228A2"/>
    <w:rsid w:val="00D25B1A"/>
    <w:rsid w:val="00D3680F"/>
    <w:rsid w:val="00D51022"/>
    <w:rsid w:val="00D6353E"/>
    <w:rsid w:val="00D65EF0"/>
    <w:rsid w:val="00D9775F"/>
    <w:rsid w:val="00DA028F"/>
    <w:rsid w:val="00DB0CED"/>
    <w:rsid w:val="00DB370A"/>
    <w:rsid w:val="00DE7DBD"/>
    <w:rsid w:val="00DF0462"/>
    <w:rsid w:val="00DF3EE6"/>
    <w:rsid w:val="00E041EF"/>
    <w:rsid w:val="00E0463C"/>
    <w:rsid w:val="00E13D67"/>
    <w:rsid w:val="00E14A6B"/>
    <w:rsid w:val="00E401E3"/>
    <w:rsid w:val="00E72C82"/>
    <w:rsid w:val="00E9017C"/>
    <w:rsid w:val="00E9368E"/>
    <w:rsid w:val="00EB1BDA"/>
    <w:rsid w:val="00EE1B37"/>
    <w:rsid w:val="00EF2868"/>
    <w:rsid w:val="00EF4DDF"/>
    <w:rsid w:val="00F02BAE"/>
    <w:rsid w:val="00F07A87"/>
    <w:rsid w:val="00F1487A"/>
    <w:rsid w:val="00F25DA0"/>
    <w:rsid w:val="00F40636"/>
    <w:rsid w:val="00F44B94"/>
    <w:rsid w:val="00F51ABC"/>
    <w:rsid w:val="00F6367B"/>
    <w:rsid w:val="00F64DDD"/>
    <w:rsid w:val="00F67EC7"/>
    <w:rsid w:val="00F74DED"/>
    <w:rsid w:val="00F75B16"/>
    <w:rsid w:val="00F94C69"/>
    <w:rsid w:val="00F96FA8"/>
    <w:rsid w:val="00FA7A33"/>
    <w:rsid w:val="00FB12C3"/>
    <w:rsid w:val="00FC40F2"/>
    <w:rsid w:val="00FC5D7F"/>
    <w:rsid w:val="00FC6C72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2</cp:revision>
  <cp:lastPrinted>2019-02-25T06:50:00Z</cp:lastPrinted>
  <dcterms:created xsi:type="dcterms:W3CDTF">2023-04-13T14:13:00Z</dcterms:created>
  <dcterms:modified xsi:type="dcterms:W3CDTF">2023-04-13T14:13:00Z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