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16CE7B69" w:rsidR="004F5495" w:rsidRPr="0042565D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886297">
        <w:rPr>
          <w:rFonts w:ascii="Calibri" w:hAnsi="Calibri" w:cs="font459"/>
          <w:sz w:val="20"/>
          <w:szCs w:val="20"/>
        </w:rPr>
        <w:t xml:space="preserve">Woensdag </w:t>
      </w:r>
      <w:r w:rsidR="00B43860">
        <w:rPr>
          <w:rFonts w:ascii="Calibri" w:hAnsi="Calibri" w:cs="font459"/>
          <w:sz w:val="20"/>
          <w:szCs w:val="20"/>
        </w:rPr>
        <w:t>1</w:t>
      </w:r>
      <w:r w:rsidR="00886297">
        <w:rPr>
          <w:rFonts w:ascii="Calibri" w:hAnsi="Calibri" w:cs="font459"/>
          <w:sz w:val="20"/>
          <w:szCs w:val="20"/>
        </w:rPr>
        <w:t xml:space="preserve"> </w:t>
      </w:r>
      <w:r w:rsidR="00B43860">
        <w:rPr>
          <w:rFonts w:ascii="Calibri" w:hAnsi="Calibri" w:cs="font459"/>
          <w:sz w:val="20"/>
          <w:szCs w:val="20"/>
        </w:rPr>
        <w:t>februari</w:t>
      </w:r>
      <w:r w:rsidR="00886297">
        <w:rPr>
          <w:rFonts w:ascii="Calibri" w:hAnsi="Calibri" w:cs="font459"/>
          <w:sz w:val="20"/>
          <w:szCs w:val="20"/>
        </w:rPr>
        <w:t xml:space="preserve"> 202</w:t>
      </w:r>
      <w:r w:rsidR="00B43860">
        <w:rPr>
          <w:rFonts w:ascii="Calibri" w:hAnsi="Calibri" w:cs="font459"/>
          <w:sz w:val="20"/>
          <w:szCs w:val="20"/>
        </w:rPr>
        <w:t>3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176DBF52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Pr="001167C0">
        <w:rPr>
          <w:rFonts w:ascii="Calibri" w:hAnsi="Calibri" w:cs="font459"/>
          <w:sz w:val="20"/>
          <w:szCs w:val="20"/>
        </w:rPr>
        <w:t>Aula IKC De Klimboom</w:t>
      </w:r>
    </w:p>
    <w:p w14:paraId="774CA27C" w14:textId="4D6FEDF2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B43860">
        <w:rPr>
          <w:rFonts w:ascii="Calibri" w:hAnsi="Calibri" w:cs="font459"/>
          <w:sz w:val="20"/>
          <w:szCs w:val="20"/>
        </w:rPr>
        <w:t>3</w:t>
      </w:r>
    </w:p>
    <w:p w14:paraId="52025732" w14:textId="78759F76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CE2393" w:rsidRPr="00CE2393">
        <w:rPr>
          <w:rFonts w:ascii="Calibri" w:hAnsi="Calibri" w:cs="Calibri"/>
          <w:bCs/>
          <w:sz w:val="20"/>
          <w:szCs w:val="20"/>
        </w:rPr>
        <w:t>Geen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10253" w:type="dxa"/>
        <w:tblLook w:val="04A0" w:firstRow="1" w:lastRow="0" w:firstColumn="1" w:lastColumn="0" w:noHBand="0" w:noVBand="1"/>
      </w:tblPr>
      <w:tblGrid>
        <w:gridCol w:w="473"/>
        <w:gridCol w:w="3066"/>
        <w:gridCol w:w="2126"/>
        <w:gridCol w:w="4588"/>
      </w:tblGrid>
      <w:tr w:rsidR="0025112D" w:rsidRPr="0025112D" w14:paraId="26F6E57D" w14:textId="359C5FDB" w:rsidTr="00F47B21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126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4588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F47B21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126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88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F47B21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88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F47B21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14:paraId="5EA401EA" w14:textId="0565B185" w:rsidR="005727D0" w:rsidRPr="00B43860" w:rsidRDefault="0025112D" w:rsidP="00B438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126" w:type="dxa"/>
          </w:tcPr>
          <w:p w14:paraId="54EA4C6B" w14:textId="6821AC97" w:rsidR="0025112D" w:rsidRDefault="0013374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4588" w:type="dxa"/>
          </w:tcPr>
          <w:p w14:paraId="36AC70AE" w14:textId="77777777" w:rsidR="00BA003E" w:rsidRPr="00F47B21" w:rsidRDefault="0019474F" w:rsidP="0019474F">
            <w:pPr>
              <w:pStyle w:val="Lijstaline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F47B21">
              <w:rPr>
                <w:rFonts w:ascii="Calibri" w:hAnsi="Calibri"/>
                <w:sz w:val="20"/>
                <w:szCs w:val="20"/>
              </w:rPr>
              <w:t xml:space="preserve">Schoonmaak door Vos: </w:t>
            </w:r>
          </w:p>
          <w:p w14:paraId="582AD57E" w14:textId="741A65AD" w:rsidR="00E206D2" w:rsidRPr="00F47B21" w:rsidRDefault="0019474F" w:rsidP="0019474F">
            <w:pPr>
              <w:pStyle w:val="Lijstaline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F47B21">
              <w:rPr>
                <w:rFonts w:ascii="Calibri" w:hAnsi="Calibri"/>
                <w:sz w:val="20"/>
                <w:szCs w:val="20"/>
              </w:rPr>
              <w:t xml:space="preserve">Stavaza, wisseling schoonmaakster, wederom </w:t>
            </w:r>
            <w:r w:rsidR="00933E28" w:rsidRPr="00F47B21">
              <w:rPr>
                <w:rFonts w:ascii="Calibri" w:hAnsi="Calibri"/>
                <w:sz w:val="20"/>
                <w:szCs w:val="20"/>
              </w:rPr>
              <w:t>onvrede. Toelichting Carolien</w:t>
            </w:r>
            <w:r w:rsidR="00F00AD7" w:rsidRPr="00F47B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47B21">
              <w:rPr>
                <w:rFonts w:ascii="Calibri" w:hAnsi="Calibri"/>
                <w:sz w:val="20"/>
                <w:szCs w:val="20"/>
              </w:rPr>
              <w:t xml:space="preserve">op </w:t>
            </w:r>
            <w:r w:rsidR="00F00AD7" w:rsidRPr="00F47B21">
              <w:rPr>
                <w:rFonts w:ascii="Calibri" w:hAnsi="Calibri"/>
                <w:sz w:val="20"/>
                <w:szCs w:val="20"/>
              </w:rPr>
              <w:t>werkwijze</w:t>
            </w:r>
            <w:r w:rsidR="0035262D" w:rsidRPr="00F47B21">
              <w:rPr>
                <w:rFonts w:ascii="Calibri" w:hAnsi="Calibri"/>
                <w:sz w:val="20"/>
                <w:szCs w:val="20"/>
              </w:rPr>
              <w:t>.</w:t>
            </w:r>
          </w:p>
          <w:p w14:paraId="3C60D4DF" w14:textId="27E63997" w:rsidR="0019474F" w:rsidRPr="00F47B21" w:rsidRDefault="00F47B21" w:rsidP="0019474F">
            <w:pPr>
              <w:pStyle w:val="Lijstalinea"/>
              <w:numPr>
                <w:ilvl w:val="1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E206D2" w:rsidRPr="00F47B21">
              <w:rPr>
                <w:rFonts w:ascii="Calibri" w:hAnsi="Calibri"/>
                <w:sz w:val="20"/>
                <w:szCs w:val="20"/>
              </w:rPr>
              <w:t>ontracten niet waterdicht, daarom lastig contract te ontbinden. Door P-tekorten</w:t>
            </w:r>
            <w:r w:rsidR="000B387B" w:rsidRPr="00F47B21">
              <w:rPr>
                <w:rFonts w:ascii="Calibri" w:hAnsi="Calibri"/>
                <w:sz w:val="20"/>
                <w:szCs w:val="20"/>
              </w:rPr>
              <w:t xml:space="preserve"> is het gewoon niet voor elkaar.</w:t>
            </w:r>
            <w:r w:rsidR="00176952" w:rsidRPr="00F47B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90CC0" w:rsidRPr="00F47B21">
              <w:rPr>
                <w:rFonts w:ascii="Calibri" w:hAnsi="Calibri"/>
                <w:sz w:val="20"/>
                <w:szCs w:val="20"/>
              </w:rPr>
              <w:t>Beloftes worden niet nagekomen.</w:t>
            </w:r>
            <w:r w:rsidR="001966AF" w:rsidRPr="00F47B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42A2" w:rsidRPr="00F47B21">
              <w:rPr>
                <w:rFonts w:ascii="Calibri" w:hAnsi="Calibri"/>
                <w:sz w:val="20"/>
                <w:szCs w:val="20"/>
              </w:rPr>
              <w:t xml:space="preserve">Lopende zaak nu om </w:t>
            </w:r>
            <w:r w:rsidR="0089350A" w:rsidRPr="00F47B21">
              <w:rPr>
                <w:rFonts w:ascii="Calibri" w:hAnsi="Calibri"/>
                <w:sz w:val="20"/>
                <w:szCs w:val="20"/>
              </w:rPr>
              <w:t>met</w:t>
            </w:r>
            <w:r w:rsidR="00AE42A2" w:rsidRPr="00F47B21">
              <w:rPr>
                <w:rFonts w:ascii="Calibri" w:hAnsi="Calibri"/>
                <w:sz w:val="20"/>
                <w:szCs w:val="20"/>
              </w:rPr>
              <w:t xml:space="preserve"> onaangekondigde steekproeven e.e.a.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E3777F" w:rsidRPr="00F47B21">
              <w:rPr>
                <w:rFonts w:ascii="Calibri" w:hAnsi="Calibri"/>
                <w:sz w:val="20"/>
                <w:szCs w:val="20"/>
              </w:rPr>
              <w:t>an</w:t>
            </w:r>
            <w:r w:rsidR="00AE42A2" w:rsidRPr="00F47B21">
              <w:rPr>
                <w:rFonts w:ascii="Calibri" w:hAnsi="Calibri"/>
                <w:sz w:val="20"/>
                <w:szCs w:val="20"/>
              </w:rPr>
              <w:t xml:space="preserve"> te tonen</w:t>
            </w:r>
            <w:r w:rsidR="00E3777F" w:rsidRPr="00F47B21">
              <w:rPr>
                <w:rFonts w:ascii="Calibri" w:hAnsi="Calibri"/>
                <w:sz w:val="20"/>
                <w:szCs w:val="20"/>
              </w:rPr>
              <w:t>.</w:t>
            </w:r>
          </w:p>
          <w:p w14:paraId="3AF2B65D" w14:textId="3A571066" w:rsidR="00F00AD7" w:rsidRPr="00F47B21" w:rsidRDefault="00F00AD7" w:rsidP="00F00AD7">
            <w:pPr>
              <w:pStyle w:val="Lijstalinea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F47B21">
              <w:rPr>
                <w:rFonts w:ascii="Calibri" w:hAnsi="Calibri"/>
                <w:sz w:val="20"/>
                <w:szCs w:val="20"/>
              </w:rPr>
              <w:t xml:space="preserve">Nieuw oudercommunicatie-platform en website Ziber Kwieb. Zie link: </w:t>
            </w:r>
            <w:hyperlink r:id="rId7" w:history="1">
              <w:r w:rsidRPr="00F47B21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De volgende generatie oudercommunicatie. - Ziber oudercommunicatie</w:t>
              </w:r>
            </w:hyperlink>
          </w:p>
        </w:tc>
      </w:tr>
      <w:tr w:rsidR="001033C3" w14:paraId="4F7FAA3D" w14:textId="77777777" w:rsidTr="00F47B21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126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4588" w:type="dxa"/>
          </w:tcPr>
          <w:p w14:paraId="7E659DC4" w14:textId="2A763E83" w:rsidR="001033C3" w:rsidRPr="00F47B21" w:rsidRDefault="0019474F" w:rsidP="0019474F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47B21">
              <w:rPr>
                <w:rFonts w:ascii="Calibri" w:hAnsi="Calibri"/>
                <w:sz w:val="20"/>
                <w:szCs w:val="20"/>
              </w:rPr>
              <w:t xml:space="preserve">Zieken veel bij SAAM*, griepgolf, Klimboom afkloppen valt mee. </w:t>
            </w:r>
          </w:p>
          <w:p w14:paraId="412ADABC" w14:textId="77777777" w:rsidR="0019474F" w:rsidRPr="00F47B21" w:rsidRDefault="0019474F" w:rsidP="0019474F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47B21">
              <w:rPr>
                <w:rFonts w:ascii="Calibri" w:hAnsi="Calibri"/>
                <w:sz w:val="20"/>
                <w:szCs w:val="20"/>
              </w:rPr>
              <w:t xml:space="preserve">Nieuwe collega’s; Karin van Sonsbeek, Patricia den Brok en vanaf vandaag nieuwe IB-er Nicole van Berkum. </w:t>
            </w:r>
          </w:p>
          <w:p w14:paraId="2CA45556" w14:textId="6B75D05E" w:rsidR="0019474F" w:rsidRPr="00F47B21" w:rsidRDefault="0019474F" w:rsidP="0019474F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47B21">
              <w:rPr>
                <w:rFonts w:ascii="Calibri" w:hAnsi="Calibri"/>
                <w:sz w:val="20"/>
                <w:szCs w:val="20"/>
              </w:rPr>
              <w:t xml:space="preserve">Carolien </w:t>
            </w:r>
            <w:r w:rsidR="00F47B21">
              <w:rPr>
                <w:rFonts w:ascii="Calibri" w:hAnsi="Calibri"/>
                <w:sz w:val="20"/>
                <w:szCs w:val="20"/>
              </w:rPr>
              <w:t>deelt upd</w:t>
            </w:r>
            <w:r w:rsidR="003E525E">
              <w:rPr>
                <w:rFonts w:ascii="Calibri" w:hAnsi="Calibri"/>
                <w:sz w:val="20"/>
                <w:szCs w:val="20"/>
              </w:rPr>
              <w:t xml:space="preserve">ate over </w:t>
            </w:r>
            <w:r w:rsidR="00F47B21">
              <w:rPr>
                <w:rFonts w:ascii="Calibri" w:hAnsi="Calibri"/>
                <w:sz w:val="20"/>
                <w:szCs w:val="20"/>
              </w:rPr>
              <w:t>p</w:t>
            </w:r>
            <w:r w:rsidR="00F47B21" w:rsidRPr="00F47B21">
              <w:rPr>
                <w:rFonts w:ascii="Calibri" w:hAnsi="Calibri"/>
                <w:sz w:val="20"/>
                <w:szCs w:val="20"/>
              </w:rPr>
              <w:t>rivé situatie</w:t>
            </w:r>
            <w:r w:rsidR="003E525E">
              <w:rPr>
                <w:rFonts w:ascii="Calibri" w:hAnsi="Calibri"/>
                <w:sz w:val="20"/>
                <w:szCs w:val="20"/>
              </w:rPr>
              <w:t>.</w:t>
            </w:r>
            <w:r w:rsidRPr="00F47B21">
              <w:rPr>
                <w:rFonts w:ascii="Calibri" w:hAnsi="Calibri"/>
                <w:sz w:val="20"/>
                <w:szCs w:val="20"/>
              </w:rPr>
              <w:t xml:space="preserve"> Rik springt bij, Barbara (Cluster directeur) ondersteunt door wekelijks overleg met Carolien.</w:t>
            </w:r>
          </w:p>
          <w:p w14:paraId="0CE1DA48" w14:textId="3CFA381A" w:rsidR="00CF0629" w:rsidRPr="00F47B21" w:rsidRDefault="00CF0629" w:rsidP="0019474F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47B21">
              <w:rPr>
                <w:rFonts w:ascii="Calibri" w:hAnsi="Calibri"/>
                <w:sz w:val="20"/>
                <w:szCs w:val="20"/>
              </w:rPr>
              <w:t>Nieuwe BBL-student die komt starten</w:t>
            </w:r>
            <w:r w:rsidR="000F35BF" w:rsidRPr="00F47B21">
              <w:rPr>
                <w:rFonts w:ascii="Calibri" w:hAnsi="Calibri"/>
                <w:sz w:val="20"/>
                <w:szCs w:val="20"/>
              </w:rPr>
              <w:t xml:space="preserve"> op </w:t>
            </w:r>
            <w:r w:rsidR="00BA74F2" w:rsidRPr="00F47B21">
              <w:rPr>
                <w:rFonts w:ascii="Calibri" w:hAnsi="Calibri"/>
                <w:sz w:val="20"/>
                <w:szCs w:val="20"/>
              </w:rPr>
              <w:t xml:space="preserve">maandag </w:t>
            </w:r>
            <w:r w:rsidR="004B516F" w:rsidRPr="00F47B21">
              <w:rPr>
                <w:rFonts w:ascii="Calibri" w:hAnsi="Calibri"/>
                <w:sz w:val="20"/>
                <w:szCs w:val="20"/>
              </w:rPr>
              <w:t>6-2.</w:t>
            </w:r>
          </w:p>
        </w:tc>
      </w:tr>
      <w:tr w:rsidR="00093F1B" w14:paraId="4159C66A" w14:textId="77777777" w:rsidTr="00F47B21">
        <w:tc>
          <w:tcPr>
            <w:tcW w:w="473" w:type="dxa"/>
          </w:tcPr>
          <w:p w14:paraId="3A395265" w14:textId="17CDFC8F" w:rsidR="00093F1B" w:rsidRDefault="009B5A45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DC4E2D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14:paraId="441AD032" w14:textId="05C4B3A5" w:rsidR="00093F1B" w:rsidRPr="001033C3" w:rsidRDefault="005B1BD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Definitieve</w:t>
            </w:r>
            <w:r w:rsidR="000804EB">
              <w:rPr>
                <w:rFonts w:ascii="Calibri" w:hAnsi="Calibri"/>
                <w:sz w:val="20"/>
                <w:szCs w:val="20"/>
              </w:rPr>
              <w:t xml:space="preserve"> begroting IKC De Klimboom</w:t>
            </w:r>
            <w:r w:rsidR="005727D0">
              <w:rPr>
                <w:rFonts w:ascii="Calibri" w:hAnsi="Calibri"/>
                <w:sz w:val="20"/>
                <w:szCs w:val="20"/>
              </w:rPr>
              <w:t xml:space="preserve"> 2023</w:t>
            </w:r>
            <w:r>
              <w:rPr>
                <w:rFonts w:ascii="Calibri" w:hAnsi="Calibri"/>
                <w:sz w:val="20"/>
                <w:szCs w:val="20"/>
              </w:rPr>
              <w:t xml:space="preserve"> en meerjarenbegroting</w:t>
            </w:r>
          </w:p>
        </w:tc>
        <w:tc>
          <w:tcPr>
            <w:tcW w:w="2126" w:type="dxa"/>
          </w:tcPr>
          <w:p w14:paraId="53B1F065" w14:textId="6CB191DA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4588" w:type="dxa"/>
          </w:tcPr>
          <w:p w14:paraId="6C60318C" w14:textId="2E9E12BA" w:rsidR="00093F1B" w:rsidRPr="00F47B21" w:rsidRDefault="00F00AD7" w:rsidP="00F00AD7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47B21">
              <w:rPr>
                <w:rFonts w:ascii="Calibri" w:hAnsi="Calibri"/>
                <w:sz w:val="20"/>
                <w:szCs w:val="20"/>
              </w:rPr>
              <w:t>Bestand</w:t>
            </w:r>
            <w:r w:rsidR="00015B19" w:rsidRPr="00F47B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350A" w:rsidRPr="00F47B21">
              <w:rPr>
                <w:rFonts w:ascii="Calibri" w:hAnsi="Calibri"/>
                <w:sz w:val="20"/>
                <w:szCs w:val="20"/>
              </w:rPr>
              <w:t>wordt indien</w:t>
            </w:r>
            <w:r w:rsidR="00292201" w:rsidRPr="00F47B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F4555" w:rsidRPr="00F47B21">
              <w:rPr>
                <w:rFonts w:ascii="Calibri" w:hAnsi="Calibri"/>
                <w:sz w:val="20"/>
                <w:szCs w:val="20"/>
              </w:rPr>
              <w:t xml:space="preserve">nodig </w:t>
            </w:r>
            <w:r w:rsidRPr="00F47B21">
              <w:rPr>
                <w:rFonts w:ascii="Calibri" w:hAnsi="Calibri"/>
                <w:sz w:val="20"/>
                <w:szCs w:val="20"/>
              </w:rPr>
              <w:t xml:space="preserve">nogmaals toegelicht, niet gedeeld </w:t>
            </w:r>
            <w:r w:rsidR="003E525E" w:rsidRPr="00F47B21">
              <w:rPr>
                <w:rFonts w:ascii="Calibri" w:hAnsi="Calibri"/>
                <w:sz w:val="20"/>
                <w:szCs w:val="20"/>
              </w:rPr>
              <w:t>i.v.m.</w:t>
            </w:r>
            <w:r w:rsidRPr="00F47B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350A" w:rsidRPr="00F47B21">
              <w:rPr>
                <w:rFonts w:ascii="Calibri" w:hAnsi="Calibri"/>
                <w:sz w:val="20"/>
                <w:szCs w:val="20"/>
              </w:rPr>
              <w:t>privacygegevens</w:t>
            </w:r>
            <w:r w:rsidRPr="00F47B21">
              <w:rPr>
                <w:rFonts w:ascii="Calibri" w:hAnsi="Calibri"/>
                <w:sz w:val="20"/>
                <w:szCs w:val="20"/>
              </w:rPr>
              <w:t xml:space="preserve"> van collega’s. </w:t>
            </w:r>
            <w:r w:rsidR="003E525E">
              <w:rPr>
                <w:rFonts w:ascii="Calibri" w:hAnsi="Calibri"/>
                <w:sz w:val="20"/>
                <w:szCs w:val="20"/>
              </w:rPr>
              <w:t xml:space="preserve">Het was </w:t>
            </w:r>
            <w:r w:rsidR="0089350A">
              <w:rPr>
                <w:rFonts w:ascii="Calibri" w:hAnsi="Calibri"/>
                <w:sz w:val="20"/>
                <w:szCs w:val="20"/>
              </w:rPr>
              <w:t>al</w:t>
            </w:r>
            <w:r w:rsidR="003E525E">
              <w:rPr>
                <w:rFonts w:ascii="Calibri" w:hAnsi="Calibri"/>
                <w:sz w:val="20"/>
                <w:szCs w:val="20"/>
              </w:rPr>
              <w:t xml:space="preserve"> goedgekeurd; geen wijzigingen verder.</w:t>
            </w:r>
          </w:p>
        </w:tc>
      </w:tr>
      <w:tr w:rsidR="00E27D40" w14:paraId="1293D887" w14:textId="77777777" w:rsidTr="00F47B21">
        <w:tc>
          <w:tcPr>
            <w:tcW w:w="473" w:type="dxa"/>
          </w:tcPr>
          <w:p w14:paraId="0AC8EAD7" w14:textId="52CAB6C1" w:rsidR="00E27D40" w:rsidRDefault="009B5A45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2A03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14:paraId="12911D13" w14:textId="77777777" w:rsidR="00E27D40" w:rsidRDefault="002A03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MACON</w:t>
            </w:r>
            <w:r w:rsidR="00B536D8">
              <w:rPr>
                <w:rFonts w:ascii="Calibri" w:hAnsi="Calibri"/>
                <w:sz w:val="20"/>
                <w:szCs w:val="20"/>
              </w:rPr>
              <w:t xml:space="preserve"> (definitief)</w:t>
            </w:r>
          </w:p>
          <w:p w14:paraId="58E5EDF4" w14:textId="5BF6F851" w:rsidR="003E525E" w:rsidRDefault="001F35D4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Heet inmiddels: </w:t>
            </w:r>
            <w:r w:rsidRPr="001F35D4">
              <w:rPr>
                <w:rFonts w:ascii="Calibri" w:hAnsi="Calibri"/>
                <w:i/>
                <w:iCs/>
                <w:sz w:val="20"/>
                <w:szCs w:val="20"/>
              </w:rPr>
              <w:t>‘Voornemens en verantwoorden’</w:t>
            </w:r>
          </w:p>
        </w:tc>
        <w:tc>
          <w:tcPr>
            <w:tcW w:w="2126" w:type="dxa"/>
          </w:tcPr>
          <w:p w14:paraId="07E69E28" w14:textId="36E56AAF" w:rsidR="00E27D40" w:rsidRDefault="002A031B" w:rsidP="00093F1B">
            <w:pPr>
              <w:rPr>
                <w:rFonts w:ascii="Calibri" w:hAnsi="Calibri"/>
                <w:sz w:val="20"/>
                <w:szCs w:val="20"/>
              </w:rPr>
            </w:pPr>
            <w:r w:rsidRPr="002A031B">
              <w:rPr>
                <w:rFonts w:ascii="Calibri" w:hAnsi="Calibri"/>
                <w:sz w:val="20"/>
                <w:szCs w:val="20"/>
              </w:rPr>
              <w:t>Informatierecht / Instemmingsrecht PMR</w:t>
            </w:r>
          </w:p>
        </w:tc>
        <w:tc>
          <w:tcPr>
            <w:tcW w:w="4588" w:type="dxa"/>
          </w:tcPr>
          <w:p w14:paraId="354E2951" w14:textId="4078FCAB" w:rsidR="00813C19" w:rsidRPr="001F35D4" w:rsidRDefault="0019474F" w:rsidP="001F35D4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F47B21">
              <w:rPr>
                <w:rFonts w:ascii="Calibri" w:hAnsi="Calibri"/>
                <w:sz w:val="20"/>
                <w:szCs w:val="20"/>
              </w:rPr>
              <w:t xml:space="preserve">Is er niet meer, vorige keer plan van aanpak </w:t>
            </w:r>
            <w:r w:rsidR="00933E28" w:rsidRPr="00F47B21">
              <w:rPr>
                <w:rFonts w:ascii="Calibri" w:hAnsi="Calibri"/>
                <w:sz w:val="20"/>
                <w:szCs w:val="20"/>
              </w:rPr>
              <w:t xml:space="preserve">op basis van </w:t>
            </w:r>
            <w:r w:rsidRPr="00F47B21">
              <w:rPr>
                <w:rFonts w:ascii="Calibri" w:hAnsi="Calibri"/>
                <w:sz w:val="20"/>
                <w:szCs w:val="20"/>
              </w:rPr>
              <w:t xml:space="preserve">uitgedeeld. </w:t>
            </w:r>
            <w:r w:rsidR="001F35D4">
              <w:rPr>
                <w:rFonts w:ascii="Calibri" w:hAnsi="Calibri"/>
                <w:sz w:val="20"/>
                <w:szCs w:val="20"/>
              </w:rPr>
              <w:t>Het heet inmiddels</w:t>
            </w:r>
            <w:r w:rsidR="00813C19" w:rsidRPr="00F47B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29D1" w:rsidRPr="00F47B21">
              <w:rPr>
                <w:rFonts w:ascii="Calibri" w:hAnsi="Calibri"/>
                <w:sz w:val="20"/>
                <w:szCs w:val="20"/>
              </w:rPr>
              <w:t>“</w:t>
            </w:r>
            <w:r w:rsidR="00552E54" w:rsidRPr="00F47B21">
              <w:rPr>
                <w:rFonts w:ascii="Calibri" w:hAnsi="Calibri"/>
                <w:sz w:val="20"/>
                <w:szCs w:val="20"/>
              </w:rPr>
              <w:t>Voornemens en verantwoorden</w:t>
            </w:r>
            <w:r w:rsidR="007229D1" w:rsidRPr="00F47B21">
              <w:rPr>
                <w:rFonts w:ascii="Calibri" w:hAnsi="Calibri"/>
                <w:sz w:val="20"/>
                <w:szCs w:val="20"/>
              </w:rPr>
              <w:t xml:space="preserve">” </w:t>
            </w:r>
            <w:r w:rsidR="001F35D4">
              <w:rPr>
                <w:rFonts w:ascii="Calibri" w:hAnsi="Calibri"/>
                <w:sz w:val="20"/>
                <w:szCs w:val="20"/>
              </w:rPr>
              <w:t xml:space="preserve">en </w:t>
            </w:r>
            <w:r w:rsidR="007229D1" w:rsidRPr="00F47B21">
              <w:rPr>
                <w:rFonts w:ascii="Calibri" w:hAnsi="Calibri"/>
                <w:sz w:val="20"/>
                <w:szCs w:val="20"/>
              </w:rPr>
              <w:t xml:space="preserve">het is alles bij elkaar; Pva, MACON etc. Ook de kengetallen (ziekte, verzuim </w:t>
            </w:r>
            <w:r w:rsidR="00CE2393" w:rsidRPr="00F47B21">
              <w:rPr>
                <w:rFonts w:ascii="Calibri" w:hAnsi="Calibri"/>
                <w:sz w:val="20"/>
                <w:szCs w:val="20"/>
              </w:rPr>
              <w:t>etc.</w:t>
            </w:r>
            <w:r w:rsidR="00813C19" w:rsidRPr="00F47B21">
              <w:rPr>
                <w:rFonts w:ascii="Calibri" w:hAnsi="Calibri"/>
                <w:sz w:val="20"/>
                <w:szCs w:val="20"/>
              </w:rPr>
              <w:t xml:space="preserve">) komen </w:t>
            </w:r>
            <w:r w:rsidR="0089350A" w:rsidRPr="00F47B21">
              <w:rPr>
                <w:rFonts w:ascii="Calibri" w:hAnsi="Calibri"/>
                <w:sz w:val="20"/>
                <w:szCs w:val="20"/>
              </w:rPr>
              <w:t>hierin</w:t>
            </w:r>
            <w:r w:rsidR="00813C19" w:rsidRPr="00F47B2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5466B" w14:paraId="5B0512EB" w14:textId="77777777" w:rsidTr="00F47B21">
        <w:tc>
          <w:tcPr>
            <w:tcW w:w="473" w:type="dxa"/>
          </w:tcPr>
          <w:p w14:paraId="68143AEE" w14:textId="230B57D2" w:rsidR="0055466B" w:rsidRDefault="009B5A45" w:rsidP="00BA0A9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66" w:type="dxa"/>
          </w:tcPr>
          <w:p w14:paraId="6B25ADFA" w14:textId="5359A8BB" w:rsidR="0055466B" w:rsidRDefault="009B5A45" w:rsidP="00BA0A94">
            <w:pPr>
              <w:rPr>
                <w:rFonts w:ascii="Calibri" w:hAnsi="Calibri"/>
                <w:sz w:val="20"/>
                <w:szCs w:val="20"/>
              </w:rPr>
            </w:pPr>
            <w:r w:rsidRPr="009B5A45">
              <w:rPr>
                <w:rFonts w:ascii="Calibri" w:hAnsi="Calibri"/>
                <w:sz w:val="20"/>
                <w:szCs w:val="20"/>
              </w:rPr>
              <w:t>Managementrapport II kalenderjaar 2021</w:t>
            </w:r>
          </w:p>
        </w:tc>
        <w:tc>
          <w:tcPr>
            <w:tcW w:w="2126" w:type="dxa"/>
          </w:tcPr>
          <w:p w14:paraId="1F9030C8" w14:textId="641CEC9F" w:rsidR="0055466B" w:rsidRPr="002A031B" w:rsidRDefault="00D1143C" w:rsidP="00BA0A94">
            <w:pPr>
              <w:rPr>
                <w:rFonts w:ascii="Calibri" w:hAnsi="Calibri"/>
                <w:sz w:val="20"/>
                <w:szCs w:val="20"/>
              </w:rPr>
            </w:pPr>
            <w:r w:rsidRPr="00D1143C">
              <w:rPr>
                <w:rFonts w:ascii="Calibri" w:hAnsi="Calibri"/>
                <w:sz w:val="20"/>
                <w:szCs w:val="20"/>
              </w:rPr>
              <w:t>Adviesrecht / Instemmingsrecht MR</w:t>
            </w:r>
          </w:p>
        </w:tc>
        <w:tc>
          <w:tcPr>
            <w:tcW w:w="4588" w:type="dxa"/>
          </w:tcPr>
          <w:p w14:paraId="6F3BF7CF" w14:textId="77777777" w:rsidR="00CB1633" w:rsidRDefault="00F00AD7" w:rsidP="00CB1633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Bestaat ook niet meer, we hebben nu </w:t>
            </w:r>
            <w:r w:rsidR="001F35D4">
              <w:rPr>
                <w:rFonts w:ascii="Calibri" w:hAnsi="Calibri" w:cs="Calibri"/>
                <w:sz w:val="20"/>
                <w:szCs w:val="20"/>
              </w:rPr>
              <w:t>éé</w:t>
            </w:r>
            <w:r>
              <w:rPr>
                <w:rFonts w:ascii="Calibri" w:hAnsi="Calibri"/>
                <w:sz w:val="20"/>
                <w:szCs w:val="20"/>
              </w:rPr>
              <w:t xml:space="preserve">n document </w:t>
            </w:r>
            <w:r w:rsidR="00CB1633">
              <w:rPr>
                <w:rFonts w:ascii="Calibri" w:hAnsi="Calibri"/>
                <w:sz w:val="20"/>
                <w:szCs w:val="20"/>
              </w:rPr>
              <w:t>(zie pt.4)</w:t>
            </w:r>
          </w:p>
          <w:p w14:paraId="6387EC5C" w14:textId="77777777" w:rsidR="00CB1633" w:rsidRDefault="00F10589" w:rsidP="00CB1633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CB1633">
              <w:rPr>
                <w:rFonts w:ascii="Calibri" w:hAnsi="Calibri"/>
                <w:sz w:val="20"/>
                <w:szCs w:val="20"/>
              </w:rPr>
              <w:t xml:space="preserve">In laatste MR van het jaar, de agenda van </w:t>
            </w:r>
          </w:p>
          <w:p w14:paraId="79AC1DED" w14:textId="7517F2FB" w:rsidR="00F10589" w:rsidRPr="00F00AD7" w:rsidRDefault="00C1629E" w:rsidP="00C1629E">
            <w:pPr>
              <w:pStyle w:val="Lijstalinea"/>
              <w:rPr>
                <w:rFonts w:ascii="Calibri" w:hAnsi="Calibri"/>
                <w:sz w:val="20"/>
                <w:szCs w:val="20"/>
              </w:rPr>
            </w:pPr>
            <w:r w:rsidRPr="00C1629E">
              <w:rPr>
                <w:rFonts w:ascii="Calibri" w:hAnsi="Calibri"/>
                <w:sz w:val="20"/>
                <w:szCs w:val="20"/>
              </w:rPr>
              <w:t>‘</w:t>
            </w:r>
            <w:r w:rsidR="00F10589" w:rsidRPr="00C1629E">
              <w:rPr>
                <w:rFonts w:ascii="Calibri" w:hAnsi="Calibri"/>
                <w:sz w:val="20"/>
                <w:szCs w:val="20"/>
              </w:rPr>
              <w:t xml:space="preserve">Voornemens </w:t>
            </w:r>
            <w:r w:rsidRPr="00C1629E">
              <w:rPr>
                <w:rFonts w:ascii="Calibri" w:hAnsi="Calibri"/>
                <w:sz w:val="20"/>
                <w:szCs w:val="20"/>
              </w:rPr>
              <w:t>en verantwoorden’</w:t>
            </w:r>
            <w:r w:rsidR="003247AA" w:rsidRPr="00CB1633">
              <w:rPr>
                <w:rFonts w:ascii="Calibri" w:hAnsi="Calibri"/>
                <w:sz w:val="20"/>
                <w:szCs w:val="20"/>
              </w:rPr>
              <w:t xml:space="preserve"> Bespreken dat Carolien</w:t>
            </w:r>
            <w:r w:rsidR="006F1544" w:rsidRPr="00CB1633">
              <w:rPr>
                <w:rFonts w:ascii="Calibri" w:hAnsi="Calibri"/>
                <w:sz w:val="20"/>
                <w:szCs w:val="20"/>
              </w:rPr>
              <w:t>; wat kan er wanneer op de MR-agenda’s.</w:t>
            </w:r>
          </w:p>
        </w:tc>
      </w:tr>
      <w:tr w:rsidR="00634D5E" w14:paraId="03868746" w14:textId="77777777" w:rsidTr="00F47B21">
        <w:tc>
          <w:tcPr>
            <w:tcW w:w="473" w:type="dxa"/>
          </w:tcPr>
          <w:p w14:paraId="648F4385" w14:textId="55AE73E2" w:rsidR="00634D5E" w:rsidRDefault="009B5A45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717A7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14:paraId="671E3CAD" w14:textId="12480906" w:rsidR="00634D5E" w:rsidRDefault="00634D5E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Jaargids 2021-2022 (aanpassen)</w:t>
            </w:r>
          </w:p>
        </w:tc>
        <w:tc>
          <w:tcPr>
            <w:tcW w:w="2126" w:type="dxa"/>
          </w:tcPr>
          <w:p w14:paraId="0E0AA041" w14:textId="49875808" w:rsidR="00634D5E" w:rsidRDefault="00DA4DAD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4588" w:type="dxa"/>
          </w:tcPr>
          <w:p w14:paraId="48B28433" w14:textId="18F2D6B5" w:rsidR="00634D5E" w:rsidRPr="004D5927" w:rsidRDefault="004D5927" w:rsidP="00093F1B">
            <w:pPr>
              <w:rPr>
                <w:rFonts w:ascii="Calibri" w:hAnsi="Calibri"/>
                <w:sz w:val="20"/>
                <w:szCs w:val="20"/>
              </w:rPr>
            </w:pPr>
            <w:r w:rsidRPr="004D5927">
              <w:rPr>
                <w:rFonts w:ascii="Calibri" w:hAnsi="Calibri"/>
                <w:sz w:val="20"/>
                <w:szCs w:val="20"/>
              </w:rPr>
              <w:t xml:space="preserve">Wordt geupdate en vernieuwd samen met nieuwe </w:t>
            </w:r>
            <w:r w:rsidRPr="004D5927">
              <w:rPr>
                <w:rFonts w:ascii="Calibri" w:hAnsi="Calibri"/>
                <w:sz w:val="20"/>
                <w:szCs w:val="20"/>
              </w:rPr>
              <w:t>oudercommunicatie-platform en website Ziber Kwieb</w:t>
            </w:r>
          </w:p>
        </w:tc>
      </w:tr>
      <w:tr w:rsidR="00C86BB9" w14:paraId="53BA3F98" w14:textId="77777777" w:rsidTr="00F47B21">
        <w:tc>
          <w:tcPr>
            <w:tcW w:w="473" w:type="dxa"/>
          </w:tcPr>
          <w:p w14:paraId="073BE2E5" w14:textId="4760DEAA" w:rsidR="00C86BB9" w:rsidRDefault="009B5A45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</w:t>
            </w:r>
            <w:r w:rsidR="00717A7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14:paraId="1F7C0DE3" w14:textId="7046CF86" w:rsidR="00C86BB9" w:rsidRDefault="00C86BB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Concept/Informatie schoolgids en bijlage</w:t>
            </w:r>
          </w:p>
        </w:tc>
        <w:tc>
          <w:tcPr>
            <w:tcW w:w="2126" w:type="dxa"/>
          </w:tcPr>
          <w:p w14:paraId="752D74C2" w14:textId="60F5F728" w:rsidR="00C86BB9" w:rsidRDefault="00A15A7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OMR en informatierecht MR</w:t>
            </w:r>
          </w:p>
        </w:tc>
        <w:tc>
          <w:tcPr>
            <w:tcW w:w="4588" w:type="dxa"/>
          </w:tcPr>
          <w:p w14:paraId="6BE538A0" w14:textId="10A2D573" w:rsidR="00CE2393" w:rsidRPr="00CE2393" w:rsidRDefault="00CE2393" w:rsidP="00093F1B">
            <w:pPr>
              <w:rPr>
                <w:rFonts w:ascii="Calibri" w:hAnsi="Calibri"/>
                <w:sz w:val="20"/>
                <w:szCs w:val="20"/>
              </w:rPr>
            </w:pPr>
            <w:r w:rsidRPr="004D5927">
              <w:rPr>
                <w:rFonts w:ascii="Calibri" w:hAnsi="Calibri"/>
                <w:sz w:val="20"/>
                <w:szCs w:val="20"/>
              </w:rPr>
              <w:t>Wordt geupdate en vernieuwd samen met nieuwe oudercommunicatie-platform en website Ziber Kwieb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93F1B" w14:paraId="40541271" w14:textId="77777777" w:rsidTr="00F47B21">
        <w:tc>
          <w:tcPr>
            <w:tcW w:w="473" w:type="dxa"/>
          </w:tcPr>
          <w:p w14:paraId="0967D675" w14:textId="585C1F81" w:rsidR="00093F1B" w:rsidRDefault="009B5A45" w:rsidP="00093F1B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14:paraId="6F9B04C4" w14:textId="5E93A49B" w:rsidR="00093F1B" w:rsidRPr="001033C3" w:rsidRDefault="005727D0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Stavaza </w:t>
            </w:r>
            <w:r w:rsidR="00093F1B">
              <w:rPr>
                <w:rFonts w:ascii="Calibri" w:hAnsi="Calibri"/>
                <w:sz w:val="20"/>
                <w:szCs w:val="20"/>
              </w:rPr>
              <w:t>IKC West (update)</w:t>
            </w:r>
          </w:p>
        </w:tc>
        <w:tc>
          <w:tcPr>
            <w:tcW w:w="2126" w:type="dxa"/>
          </w:tcPr>
          <w:p w14:paraId="2912D13C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4588" w:type="dxa"/>
          </w:tcPr>
          <w:p w14:paraId="5C8D5286" w14:textId="5A4EA0BB" w:rsidR="00093F1B" w:rsidRPr="00CE2393" w:rsidRDefault="0019474F" w:rsidP="0019474F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CE2393">
              <w:rPr>
                <w:rFonts w:ascii="Calibri" w:hAnsi="Calibri"/>
                <w:sz w:val="20"/>
                <w:szCs w:val="20"/>
              </w:rPr>
              <w:t xml:space="preserve">Collega’s Aventurijn zijn op bezoek geweest op 18 januari 2023. Dirk, Elske en Carolien hebben uitleg gegeven en zijn in units gaan kijken.  </w:t>
            </w:r>
          </w:p>
          <w:p w14:paraId="73BD7DB0" w14:textId="18F6A602" w:rsidR="0019474F" w:rsidRPr="00CE2393" w:rsidRDefault="0019474F" w:rsidP="0019474F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CE2393">
              <w:rPr>
                <w:rFonts w:ascii="Calibri" w:hAnsi="Calibri"/>
                <w:sz w:val="20"/>
                <w:szCs w:val="20"/>
              </w:rPr>
              <w:t>Bouw; tweewekelijks nog projectgroep overleg, 2 maart aannemerselectie. Doel</w:t>
            </w:r>
            <w:r w:rsidR="00CE2393">
              <w:rPr>
                <w:rFonts w:ascii="Calibri" w:hAnsi="Calibri"/>
                <w:sz w:val="20"/>
                <w:szCs w:val="20"/>
              </w:rPr>
              <w:t xml:space="preserve"> is nog steeds om</w:t>
            </w:r>
            <w:r w:rsidRPr="00CE2393">
              <w:rPr>
                <w:rFonts w:ascii="Calibri" w:hAnsi="Calibri"/>
                <w:sz w:val="20"/>
                <w:szCs w:val="20"/>
              </w:rPr>
              <w:t xml:space="preserve"> zomer 2024 </w:t>
            </w:r>
            <w:r w:rsidR="00CE2393">
              <w:rPr>
                <w:rFonts w:ascii="Calibri" w:hAnsi="Calibri"/>
                <w:sz w:val="20"/>
                <w:szCs w:val="20"/>
              </w:rPr>
              <w:t>te verhuizen.</w:t>
            </w:r>
            <w:r w:rsidRPr="00CE239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F1B25A" w14:textId="24705CE4" w:rsidR="0019474F" w:rsidRPr="0019474F" w:rsidRDefault="0019474F" w:rsidP="0019474F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 w:rsidRPr="00CE2393">
              <w:rPr>
                <w:rFonts w:ascii="Calibri" w:hAnsi="Calibri"/>
                <w:sz w:val="20"/>
                <w:szCs w:val="20"/>
              </w:rPr>
              <w:t xml:space="preserve">Werkgroepen: Onderwijs, speelplein, inrichting zijn net allen een beetje opgestart. Externe ondersteunen i.v.m. subsidies etc. en begeleiden </w:t>
            </w:r>
            <w:r w:rsidR="0089350A" w:rsidRPr="00CE2393">
              <w:rPr>
                <w:rFonts w:ascii="Calibri" w:hAnsi="Calibri"/>
                <w:sz w:val="20"/>
                <w:szCs w:val="20"/>
              </w:rPr>
              <w:t>in hoe</w:t>
            </w:r>
            <w:r w:rsidRPr="00CE2393">
              <w:rPr>
                <w:rFonts w:ascii="Calibri" w:hAnsi="Calibri"/>
                <w:sz w:val="20"/>
                <w:szCs w:val="20"/>
              </w:rPr>
              <w:t xml:space="preserve"> kinderen en ouders erbij betrekken. </w:t>
            </w:r>
          </w:p>
        </w:tc>
      </w:tr>
      <w:tr w:rsidR="00093F1B" w14:paraId="4CE3E84D" w14:textId="77777777" w:rsidTr="00F47B21">
        <w:tc>
          <w:tcPr>
            <w:tcW w:w="473" w:type="dxa"/>
          </w:tcPr>
          <w:p w14:paraId="241AD39B" w14:textId="6A992B3C" w:rsidR="00093F1B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</w:tcPr>
          <w:p w14:paraId="34349982" w14:textId="26B78C96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1CC8B" w14:textId="2F428A11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88" w:type="dxa"/>
          </w:tcPr>
          <w:p w14:paraId="3740D2CE" w14:textId="3B57B835" w:rsidR="00093F1B" w:rsidRPr="00D25B1A" w:rsidRDefault="00093F1B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3F1B" w:rsidRPr="0025112D" w14:paraId="26DCF404" w14:textId="77777777" w:rsidTr="00F47B21">
        <w:tc>
          <w:tcPr>
            <w:tcW w:w="473" w:type="dxa"/>
          </w:tcPr>
          <w:p w14:paraId="68CD314E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6" w:type="dxa"/>
          </w:tcPr>
          <w:p w14:paraId="22E97958" w14:textId="141300D4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126" w:type="dxa"/>
          </w:tcPr>
          <w:p w14:paraId="71E0F00B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588" w:type="dxa"/>
          </w:tcPr>
          <w:p w14:paraId="5D65D659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93F1B" w14:paraId="4CEB6F63" w14:textId="788ADB98" w:rsidTr="00F47B21">
        <w:tc>
          <w:tcPr>
            <w:tcW w:w="473" w:type="dxa"/>
          </w:tcPr>
          <w:p w14:paraId="31968BC9" w14:textId="28ED7282" w:rsidR="00093F1B" w:rsidRPr="0025112D" w:rsidRDefault="009B5A45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66" w:type="dxa"/>
          </w:tcPr>
          <w:p w14:paraId="777D7336" w14:textId="1B58935C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126" w:type="dxa"/>
          </w:tcPr>
          <w:p w14:paraId="22B9CC9D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88" w:type="dxa"/>
          </w:tcPr>
          <w:p w14:paraId="10752099" w14:textId="3DB06401" w:rsidR="00093F1B" w:rsidRDefault="009B5A45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Teams-verzoek met GMR/MR  vergadering gepland op 9 maart</w:t>
            </w:r>
            <w:r w:rsidR="00CE2393">
              <w:rPr>
                <w:rFonts w:ascii="Calibri" w:hAnsi="Calibri"/>
                <w:sz w:val="20"/>
                <w:szCs w:val="20"/>
              </w:rPr>
              <w:t>:</w:t>
            </w:r>
          </w:p>
          <w:p w14:paraId="02173E26" w14:textId="3A27A44E" w:rsidR="00E30A0A" w:rsidRPr="00E30A0A" w:rsidRDefault="00BF2F58" w:rsidP="00E30A0A">
            <w:pPr>
              <w:pStyle w:val="Lijstalinea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Onderwerpen inbrengen? Fusie met andere school, </w:t>
            </w:r>
            <w:r w:rsidR="00CE2393">
              <w:rPr>
                <w:rFonts w:ascii="Calibri" w:hAnsi="Calibri"/>
                <w:sz w:val="20"/>
                <w:szCs w:val="20"/>
              </w:rPr>
              <w:t>het</w:t>
            </w:r>
            <w:r>
              <w:rPr>
                <w:rFonts w:ascii="Calibri" w:hAnsi="Calibri"/>
                <w:sz w:val="20"/>
                <w:szCs w:val="20"/>
              </w:rPr>
              <w:t xml:space="preserve"> proces van samenkomen met de KR</w:t>
            </w:r>
            <w:r w:rsidR="003F0933">
              <w:rPr>
                <w:rFonts w:ascii="Calibri" w:hAnsi="Calibri"/>
                <w:sz w:val="20"/>
                <w:szCs w:val="20"/>
              </w:rPr>
              <w:t xml:space="preserve"> van de andere school etc. Dat lijkt het belangrijkste voor de Klimboom op dit moment.</w:t>
            </w:r>
            <w:r w:rsidR="007801C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E2393">
              <w:rPr>
                <w:rFonts w:ascii="Calibri" w:hAnsi="Calibri"/>
                <w:sz w:val="20"/>
                <w:szCs w:val="20"/>
              </w:rPr>
              <w:t>We wachten het gekozen onderwerp af, en beslissen dan of we gaan aansluiten.</w:t>
            </w:r>
          </w:p>
        </w:tc>
      </w:tr>
    </w:tbl>
    <w:p w14:paraId="16046E72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772"/>
        <w:gridCol w:w="1054"/>
        <w:gridCol w:w="1639"/>
        <w:gridCol w:w="1985"/>
      </w:tblGrid>
      <w:tr w:rsidR="00707E31" w:rsidRPr="000F760D" w14:paraId="6D9B142C" w14:textId="77777777" w:rsidTr="004349D7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054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1639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985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358DF2DE" w14:textId="77777777" w:rsidTr="004349D7">
        <w:trPr>
          <w:trHeight w:val="215"/>
        </w:trPr>
        <w:tc>
          <w:tcPr>
            <w:tcW w:w="468" w:type="dxa"/>
          </w:tcPr>
          <w:p w14:paraId="7161C3FB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4EA878E2" w14:textId="3B76305E" w:rsidR="00707E31" w:rsidRPr="00B536D8" w:rsidRDefault="00DC4E2D" w:rsidP="00594C47">
            <w:pPr>
              <w:spacing w:line="256" w:lineRule="auto"/>
              <w:rPr>
                <w:rFonts w:ascii="Calibri" w:hAnsi="Calibri"/>
                <w:dstrike/>
                <w:sz w:val="20"/>
                <w:szCs w:val="20"/>
              </w:rPr>
            </w:pPr>
            <w:r w:rsidRPr="00B536D8">
              <w:rPr>
                <w:rFonts w:ascii="Calibri" w:hAnsi="Calibri"/>
                <w:dstrike/>
                <w:sz w:val="20"/>
                <w:szCs w:val="20"/>
              </w:rPr>
              <w:t>Jaarverslag MR 2021-2022 maken</w:t>
            </w:r>
          </w:p>
        </w:tc>
        <w:tc>
          <w:tcPr>
            <w:tcW w:w="1054" w:type="dxa"/>
            <w:shd w:val="clear" w:color="auto" w:fill="auto"/>
          </w:tcPr>
          <w:p w14:paraId="303243F4" w14:textId="44D30E03" w:rsidR="00707E31" w:rsidRPr="00B536D8" w:rsidRDefault="00DC4E2D" w:rsidP="00594C47">
            <w:pPr>
              <w:spacing w:line="256" w:lineRule="auto"/>
              <w:rPr>
                <w:rFonts w:ascii="Calibri" w:hAnsi="Calibri"/>
                <w:dstrike/>
                <w:sz w:val="20"/>
                <w:szCs w:val="20"/>
              </w:rPr>
            </w:pPr>
            <w:r w:rsidRPr="00B536D8">
              <w:rPr>
                <w:rFonts w:ascii="Calibri" w:hAnsi="Calibri"/>
                <w:dstrike/>
                <w:sz w:val="20"/>
                <w:szCs w:val="20"/>
              </w:rPr>
              <w:t>Jaap</w:t>
            </w:r>
          </w:p>
        </w:tc>
        <w:tc>
          <w:tcPr>
            <w:tcW w:w="1639" w:type="dxa"/>
            <w:shd w:val="clear" w:color="auto" w:fill="auto"/>
          </w:tcPr>
          <w:p w14:paraId="1365B6EB" w14:textId="33724B69" w:rsidR="00707E31" w:rsidRPr="00B536D8" w:rsidRDefault="00DC4E2D" w:rsidP="00594C47">
            <w:pPr>
              <w:spacing w:line="256" w:lineRule="auto"/>
              <w:rPr>
                <w:rFonts w:ascii="Calibri" w:hAnsi="Calibri"/>
                <w:dstrike/>
                <w:sz w:val="20"/>
                <w:szCs w:val="20"/>
              </w:rPr>
            </w:pPr>
            <w:r w:rsidRPr="00B536D8">
              <w:rPr>
                <w:rFonts w:ascii="Calibri" w:hAnsi="Calibri"/>
                <w:dstrike/>
                <w:sz w:val="20"/>
                <w:szCs w:val="20"/>
              </w:rPr>
              <w:t xml:space="preserve">MR2 </w:t>
            </w:r>
            <w:r w:rsidR="00881B62" w:rsidRPr="00B536D8">
              <w:rPr>
                <w:rFonts w:ascii="Calibri" w:hAnsi="Calibri"/>
                <w:dstrike/>
                <w:sz w:val="20"/>
                <w:szCs w:val="20"/>
              </w:rPr>
              <w:t>23-11</w:t>
            </w:r>
            <w:r w:rsidR="0089350A" w:rsidRPr="00B536D8">
              <w:rPr>
                <w:rFonts w:ascii="Calibri" w:hAnsi="Calibri"/>
                <w:dstrike/>
                <w:sz w:val="20"/>
                <w:szCs w:val="20"/>
              </w:rPr>
              <w:t>- ‘</w:t>
            </w:r>
            <w:r w:rsidR="00881B62" w:rsidRPr="00B536D8">
              <w:rPr>
                <w:rFonts w:ascii="Calibri" w:hAnsi="Calibri"/>
                <w:dstrike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40270F97" w14:textId="46FC6DB4" w:rsidR="00707E31" w:rsidRPr="00B536D8" w:rsidRDefault="009B5A45" w:rsidP="00594C47">
            <w:pPr>
              <w:spacing w:line="256" w:lineRule="auto"/>
              <w:rPr>
                <w:rFonts w:ascii="Calibri" w:hAnsi="Calibri"/>
                <w:dstrike/>
                <w:sz w:val="20"/>
                <w:szCs w:val="20"/>
              </w:rPr>
            </w:pPr>
            <w:r w:rsidRPr="00B536D8">
              <w:rPr>
                <w:rFonts w:ascii="Calibri" w:hAnsi="Calibri"/>
                <w:dstrike/>
                <w:sz w:val="20"/>
                <w:szCs w:val="20"/>
              </w:rPr>
              <w:t>Ja</w:t>
            </w:r>
          </w:p>
        </w:tc>
      </w:tr>
      <w:tr w:rsidR="00707E31" w:rsidRPr="000F760D" w14:paraId="212B16A6" w14:textId="77777777" w:rsidTr="004349D7">
        <w:trPr>
          <w:trHeight w:val="223"/>
        </w:trPr>
        <w:tc>
          <w:tcPr>
            <w:tcW w:w="468" w:type="dxa"/>
          </w:tcPr>
          <w:p w14:paraId="21AAEE6A" w14:textId="77777777" w:rsidR="00707E31" w:rsidRPr="00E0463C" w:rsidRDefault="00707E31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14:paraId="68ED8E11" w14:textId="1B11DA26" w:rsidR="00707E31" w:rsidRPr="00F257A7" w:rsidRDefault="006F1544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Carolien; delen agenda </w:t>
            </w:r>
            <w:r w:rsidR="00B9483B">
              <w:rPr>
                <w:rFonts w:ascii="Calibri" w:hAnsi="Calibri"/>
                <w:sz w:val="20"/>
                <w:szCs w:val="20"/>
              </w:rPr>
              <w:t>”Voornemens en Verantwoording</w:t>
            </w:r>
            <w:r w:rsidR="000801F9">
              <w:rPr>
                <w:rFonts w:ascii="Calibri" w:hAnsi="Calibri"/>
                <w:sz w:val="20"/>
                <w:szCs w:val="20"/>
              </w:rPr>
              <w:t>“ voor de MR-</w:t>
            </w:r>
            <w:r w:rsidR="00C1629E">
              <w:rPr>
                <w:rFonts w:ascii="Calibri" w:hAnsi="Calibri"/>
                <w:sz w:val="20"/>
                <w:szCs w:val="20"/>
              </w:rPr>
              <w:t>jaarplanning</w:t>
            </w:r>
          </w:p>
        </w:tc>
        <w:tc>
          <w:tcPr>
            <w:tcW w:w="1054" w:type="dxa"/>
            <w:shd w:val="clear" w:color="auto" w:fill="auto"/>
          </w:tcPr>
          <w:p w14:paraId="7C70077A" w14:textId="46B0C54B" w:rsidR="00707E31" w:rsidRPr="00F257A7" w:rsidRDefault="00753B48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Carolien</w:t>
            </w:r>
          </w:p>
        </w:tc>
        <w:tc>
          <w:tcPr>
            <w:tcW w:w="1639" w:type="dxa"/>
            <w:shd w:val="clear" w:color="auto" w:fill="auto"/>
          </w:tcPr>
          <w:p w14:paraId="70DBC356" w14:textId="17B48990" w:rsidR="00707E31" w:rsidRPr="00F257A7" w:rsidRDefault="00753B48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MR-6</w:t>
            </w:r>
            <w:r w:rsidR="00D96CF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0BAC">
              <w:rPr>
                <w:rFonts w:ascii="Calibri" w:hAnsi="Calibri"/>
                <w:sz w:val="20"/>
                <w:szCs w:val="20"/>
              </w:rPr>
              <w:t>(Laatste</w:t>
            </w:r>
            <w:r w:rsidR="00D96CF6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9E1A95D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23EE5" w:rsidRPr="000F760D" w14:paraId="7DE74DB7" w14:textId="77777777" w:rsidTr="004349D7">
        <w:trPr>
          <w:trHeight w:val="223"/>
        </w:trPr>
        <w:tc>
          <w:tcPr>
            <w:tcW w:w="468" w:type="dxa"/>
          </w:tcPr>
          <w:p w14:paraId="44454FD3" w14:textId="0C2FE6DB" w:rsidR="00E23EE5" w:rsidRPr="00E0463C" w:rsidRDefault="00E23EE5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72" w:type="dxa"/>
            <w:shd w:val="clear" w:color="auto" w:fill="auto"/>
          </w:tcPr>
          <w:p w14:paraId="32142B1E" w14:textId="05AE5297" w:rsidR="00E23EE5" w:rsidRPr="00F257A7" w:rsidRDefault="003800DC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Checken jaarplannen MR op actualiteit v.w.b. Agendapunten.</w:t>
            </w:r>
          </w:p>
        </w:tc>
        <w:tc>
          <w:tcPr>
            <w:tcW w:w="1054" w:type="dxa"/>
            <w:shd w:val="clear" w:color="auto" w:fill="auto"/>
          </w:tcPr>
          <w:p w14:paraId="4AC6F317" w14:textId="0720664E" w:rsidR="00E23EE5" w:rsidRPr="00F257A7" w:rsidRDefault="00DD3D0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Allen</w:t>
            </w:r>
          </w:p>
        </w:tc>
        <w:tc>
          <w:tcPr>
            <w:tcW w:w="1639" w:type="dxa"/>
            <w:shd w:val="clear" w:color="auto" w:fill="auto"/>
          </w:tcPr>
          <w:p w14:paraId="4D68A75A" w14:textId="78400AAE" w:rsidR="00E23EE5" w:rsidRPr="00F257A7" w:rsidRDefault="00480BAC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MR-6 (laatste)</w:t>
            </w:r>
          </w:p>
        </w:tc>
        <w:tc>
          <w:tcPr>
            <w:tcW w:w="1985" w:type="dxa"/>
            <w:shd w:val="clear" w:color="auto" w:fill="auto"/>
          </w:tcPr>
          <w:p w14:paraId="42E8F40C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Pr="006423F5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1366DE" w:rsidRPr="006423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7C05" w14:textId="77777777" w:rsidR="009C23BD" w:rsidRDefault="009C23BD">
      <w:r>
        <w:separator/>
      </w:r>
    </w:p>
  </w:endnote>
  <w:endnote w:type="continuationSeparator" w:id="0">
    <w:p w14:paraId="55702CBE" w14:textId="77777777" w:rsidR="009C23BD" w:rsidRDefault="009C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42AF" w14:textId="77777777" w:rsidR="009C23BD" w:rsidRDefault="009C23BD">
      <w:r>
        <w:separator/>
      </w:r>
    </w:p>
  </w:footnote>
  <w:footnote w:type="continuationSeparator" w:id="0">
    <w:p w14:paraId="1348F915" w14:textId="77777777" w:rsidR="009C23BD" w:rsidRDefault="009C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7A5121E5" w:rsidR="004F5495" w:rsidRDefault="00CE2393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Notulen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38B9"/>
    <w:multiLevelType w:val="hybridMultilevel"/>
    <w:tmpl w:val="F984E93C"/>
    <w:lvl w:ilvl="0" w:tplc="2F80B93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B17087"/>
    <w:multiLevelType w:val="hybridMultilevel"/>
    <w:tmpl w:val="85849F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D4B36"/>
    <w:multiLevelType w:val="hybridMultilevel"/>
    <w:tmpl w:val="67DAA048"/>
    <w:lvl w:ilvl="0" w:tplc="3FA4007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0715E"/>
    <w:multiLevelType w:val="hybridMultilevel"/>
    <w:tmpl w:val="6FB02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6766E"/>
    <w:multiLevelType w:val="hybridMultilevel"/>
    <w:tmpl w:val="5F48B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8505">
    <w:abstractNumId w:val="7"/>
  </w:num>
  <w:num w:numId="2" w16cid:durableId="902060489">
    <w:abstractNumId w:val="4"/>
  </w:num>
  <w:num w:numId="3" w16cid:durableId="739139698">
    <w:abstractNumId w:val="9"/>
  </w:num>
  <w:num w:numId="4" w16cid:durableId="794979534">
    <w:abstractNumId w:val="11"/>
  </w:num>
  <w:num w:numId="5" w16cid:durableId="1609120565">
    <w:abstractNumId w:val="1"/>
  </w:num>
  <w:num w:numId="6" w16cid:durableId="648243454">
    <w:abstractNumId w:val="6"/>
  </w:num>
  <w:num w:numId="7" w16cid:durableId="1028331066">
    <w:abstractNumId w:val="2"/>
  </w:num>
  <w:num w:numId="8" w16cid:durableId="2023969657">
    <w:abstractNumId w:val="0"/>
  </w:num>
  <w:num w:numId="9" w16cid:durableId="1752506869">
    <w:abstractNumId w:val="5"/>
  </w:num>
  <w:num w:numId="10" w16cid:durableId="1556551859">
    <w:abstractNumId w:val="10"/>
  </w:num>
  <w:num w:numId="11" w16cid:durableId="1168402940">
    <w:abstractNumId w:val="12"/>
  </w:num>
  <w:num w:numId="12" w16cid:durableId="1487549922">
    <w:abstractNumId w:val="8"/>
  </w:num>
  <w:num w:numId="13" w16cid:durableId="825781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14931"/>
    <w:rsid w:val="00015B19"/>
    <w:rsid w:val="00027197"/>
    <w:rsid w:val="00042033"/>
    <w:rsid w:val="00050544"/>
    <w:rsid w:val="00065BB1"/>
    <w:rsid w:val="000661AA"/>
    <w:rsid w:val="000715F8"/>
    <w:rsid w:val="00074A44"/>
    <w:rsid w:val="000801F9"/>
    <w:rsid w:val="000804EB"/>
    <w:rsid w:val="0008384F"/>
    <w:rsid w:val="00086DD5"/>
    <w:rsid w:val="000910FF"/>
    <w:rsid w:val="00093F1B"/>
    <w:rsid w:val="000A2300"/>
    <w:rsid w:val="000B387B"/>
    <w:rsid w:val="000C62B7"/>
    <w:rsid w:val="000D16C6"/>
    <w:rsid w:val="000F0C65"/>
    <w:rsid w:val="000F35BF"/>
    <w:rsid w:val="001033C3"/>
    <w:rsid w:val="00104A59"/>
    <w:rsid w:val="00113C72"/>
    <w:rsid w:val="00114551"/>
    <w:rsid w:val="001167C0"/>
    <w:rsid w:val="00133740"/>
    <w:rsid w:val="00135A66"/>
    <w:rsid w:val="001366DE"/>
    <w:rsid w:val="001378EF"/>
    <w:rsid w:val="00147691"/>
    <w:rsid w:val="001523D6"/>
    <w:rsid w:val="001577CC"/>
    <w:rsid w:val="001616B4"/>
    <w:rsid w:val="001658DF"/>
    <w:rsid w:val="00176952"/>
    <w:rsid w:val="001806C1"/>
    <w:rsid w:val="00181FDC"/>
    <w:rsid w:val="00182144"/>
    <w:rsid w:val="00185564"/>
    <w:rsid w:val="00192113"/>
    <w:rsid w:val="0019474F"/>
    <w:rsid w:val="001966AF"/>
    <w:rsid w:val="001C511C"/>
    <w:rsid w:val="001D1404"/>
    <w:rsid w:val="001D2486"/>
    <w:rsid w:val="001D61F9"/>
    <w:rsid w:val="001F35D4"/>
    <w:rsid w:val="002029F8"/>
    <w:rsid w:val="002178D9"/>
    <w:rsid w:val="00234B81"/>
    <w:rsid w:val="00247EA5"/>
    <w:rsid w:val="0025051F"/>
    <w:rsid w:val="0025112D"/>
    <w:rsid w:val="00256956"/>
    <w:rsid w:val="00284F21"/>
    <w:rsid w:val="00285161"/>
    <w:rsid w:val="00290CC0"/>
    <w:rsid w:val="00292201"/>
    <w:rsid w:val="00296B28"/>
    <w:rsid w:val="00297ADB"/>
    <w:rsid w:val="002A031B"/>
    <w:rsid w:val="002C18C0"/>
    <w:rsid w:val="00305C13"/>
    <w:rsid w:val="003247AA"/>
    <w:rsid w:val="0033315C"/>
    <w:rsid w:val="0035262D"/>
    <w:rsid w:val="00360604"/>
    <w:rsid w:val="00360D4E"/>
    <w:rsid w:val="00366428"/>
    <w:rsid w:val="003800DC"/>
    <w:rsid w:val="003A049A"/>
    <w:rsid w:val="003A3434"/>
    <w:rsid w:val="003A75A3"/>
    <w:rsid w:val="003B5CB2"/>
    <w:rsid w:val="003C59EA"/>
    <w:rsid w:val="003D5D07"/>
    <w:rsid w:val="003E525E"/>
    <w:rsid w:val="003F0933"/>
    <w:rsid w:val="00400C54"/>
    <w:rsid w:val="00404783"/>
    <w:rsid w:val="0042565D"/>
    <w:rsid w:val="00430A3F"/>
    <w:rsid w:val="004349D7"/>
    <w:rsid w:val="00451D00"/>
    <w:rsid w:val="00465F83"/>
    <w:rsid w:val="00480BAC"/>
    <w:rsid w:val="004A3600"/>
    <w:rsid w:val="004B516F"/>
    <w:rsid w:val="004D5927"/>
    <w:rsid w:val="004E10BE"/>
    <w:rsid w:val="004F5495"/>
    <w:rsid w:val="00503E3D"/>
    <w:rsid w:val="00504B04"/>
    <w:rsid w:val="00520AD4"/>
    <w:rsid w:val="00532A7E"/>
    <w:rsid w:val="005352E9"/>
    <w:rsid w:val="00543593"/>
    <w:rsid w:val="00547B31"/>
    <w:rsid w:val="00552E54"/>
    <w:rsid w:val="0055466B"/>
    <w:rsid w:val="00556A7C"/>
    <w:rsid w:val="005727D0"/>
    <w:rsid w:val="00581E0E"/>
    <w:rsid w:val="00584F17"/>
    <w:rsid w:val="00591B82"/>
    <w:rsid w:val="00594C47"/>
    <w:rsid w:val="005A163B"/>
    <w:rsid w:val="005B0781"/>
    <w:rsid w:val="005B1BDB"/>
    <w:rsid w:val="005B5B7C"/>
    <w:rsid w:val="005D3D85"/>
    <w:rsid w:val="005E3A0F"/>
    <w:rsid w:val="00602E32"/>
    <w:rsid w:val="00611F06"/>
    <w:rsid w:val="006178A3"/>
    <w:rsid w:val="006308ED"/>
    <w:rsid w:val="00634D5E"/>
    <w:rsid w:val="006423F5"/>
    <w:rsid w:val="00644B69"/>
    <w:rsid w:val="00651DD6"/>
    <w:rsid w:val="00665373"/>
    <w:rsid w:val="00672B76"/>
    <w:rsid w:val="00672EDB"/>
    <w:rsid w:val="00681C92"/>
    <w:rsid w:val="006837F8"/>
    <w:rsid w:val="006A0F21"/>
    <w:rsid w:val="006A141E"/>
    <w:rsid w:val="006F1544"/>
    <w:rsid w:val="00707E31"/>
    <w:rsid w:val="007110BE"/>
    <w:rsid w:val="00715D27"/>
    <w:rsid w:val="00716EA0"/>
    <w:rsid w:val="00717A72"/>
    <w:rsid w:val="007229D1"/>
    <w:rsid w:val="00724D93"/>
    <w:rsid w:val="00737BD8"/>
    <w:rsid w:val="00753B48"/>
    <w:rsid w:val="0077382E"/>
    <w:rsid w:val="007754D6"/>
    <w:rsid w:val="007801C9"/>
    <w:rsid w:val="00786378"/>
    <w:rsid w:val="007A2321"/>
    <w:rsid w:val="007C61EA"/>
    <w:rsid w:val="007C671E"/>
    <w:rsid w:val="007E1F26"/>
    <w:rsid w:val="007E7090"/>
    <w:rsid w:val="007F1FD8"/>
    <w:rsid w:val="00802A0F"/>
    <w:rsid w:val="00803232"/>
    <w:rsid w:val="00813A6B"/>
    <w:rsid w:val="00813C19"/>
    <w:rsid w:val="00813D42"/>
    <w:rsid w:val="00814D7E"/>
    <w:rsid w:val="0081782A"/>
    <w:rsid w:val="008178D1"/>
    <w:rsid w:val="00820EDD"/>
    <w:rsid w:val="00830277"/>
    <w:rsid w:val="00866EC7"/>
    <w:rsid w:val="008755F7"/>
    <w:rsid w:val="00881B62"/>
    <w:rsid w:val="00886297"/>
    <w:rsid w:val="008905E5"/>
    <w:rsid w:val="0089350A"/>
    <w:rsid w:val="008B7701"/>
    <w:rsid w:val="008E0B76"/>
    <w:rsid w:val="008F3DDE"/>
    <w:rsid w:val="008F45DA"/>
    <w:rsid w:val="00905EF2"/>
    <w:rsid w:val="00910260"/>
    <w:rsid w:val="0091637D"/>
    <w:rsid w:val="009302B0"/>
    <w:rsid w:val="00932F2D"/>
    <w:rsid w:val="00933E28"/>
    <w:rsid w:val="00936F9F"/>
    <w:rsid w:val="00947CF4"/>
    <w:rsid w:val="00950A0A"/>
    <w:rsid w:val="009A6D58"/>
    <w:rsid w:val="009B5A45"/>
    <w:rsid w:val="009C23BD"/>
    <w:rsid w:val="009D1331"/>
    <w:rsid w:val="009F1C77"/>
    <w:rsid w:val="00A157C2"/>
    <w:rsid w:val="00A15A79"/>
    <w:rsid w:val="00A24B63"/>
    <w:rsid w:val="00A4516D"/>
    <w:rsid w:val="00A71B56"/>
    <w:rsid w:val="00AB28D6"/>
    <w:rsid w:val="00AD6CF5"/>
    <w:rsid w:val="00AD73F5"/>
    <w:rsid w:val="00AE30F3"/>
    <w:rsid w:val="00AE42A2"/>
    <w:rsid w:val="00AF4555"/>
    <w:rsid w:val="00AF5314"/>
    <w:rsid w:val="00B05B23"/>
    <w:rsid w:val="00B06E45"/>
    <w:rsid w:val="00B10DA5"/>
    <w:rsid w:val="00B134FB"/>
    <w:rsid w:val="00B167CD"/>
    <w:rsid w:val="00B264B2"/>
    <w:rsid w:val="00B43603"/>
    <w:rsid w:val="00B43860"/>
    <w:rsid w:val="00B46B12"/>
    <w:rsid w:val="00B532F8"/>
    <w:rsid w:val="00B536D8"/>
    <w:rsid w:val="00B9483B"/>
    <w:rsid w:val="00B97BE2"/>
    <w:rsid w:val="00BA003E"/>
    <w:rsid w:val="00BA74F2"/>
    <w:rsid w:val="00BB69D3"/>
    <w:rsid w:val="00BB6C2F"/>
    <w:rsid w:val="00BC3495"/>
    <w:rsid w:val="00BD0358"/>
    <w:rsid w:val="00BF2CA0"/>
    <w:rsid w:val="00BF2F58"/>
    <w:rsid w:val="00BF67FA"/>
    <w:rsid w:val="00C14F85"/>
    <w:rsid w:val="00C156FF"/>
    <w:rsid w:val="00C1629E"/>
    <w:rsid w:val="00C20DD9"/>
    <w:rsid w:val="00C366C8"/>
    <w:rsid w:val="00C410FA"/>
    <w:rsid w:val="00C53986"/>
    <w:rsid w:val="00C54214"/>
    <w:rsid w:val="00C7191E"/>
    <w:rsid w:val="00C86BB9"/>
    <w:rsid w:val="00CA2585"/>
    <w:rsid w:val="00CB0965"/>
    <w:rsid w:val="00CB1633"/>
    <w:rsid w:val="00CC7F87"/>
    <w:rsid w:val="00CE017F"/>
    <w:rsid w:val="00CE2393"/>
    <w:rsid w:val="00CF0629"/>
    <w:rsid w:val="00CF5CDA"/>
    <w:rsid w:val="00D1143C"/>
    <w:rsid w:val="00D25B1A"/>
    <w:rsid w:val="00D3680F"/>
    <w:rsid w:val="00D6353E"/>
    <w:rsid w:val="00D65EF0"/>
    <w:rsid w:val="00D73803"/>
    <w:rsid w:val="00D96CF6"/>
    <w:rsid w:val="00DA028F"/>
    <w:rsid w:val="00DA4DAD"/>
    <w:rsid w:val="00DB0CED"/>
    <w:rsid w:val="00DC4E2D"/>
    <w:rsid w:val="00DD3D0B"/>
    <w:rsid w:val="00DF3EE6"/>
    <w:rsid w:val="00E00A8F"/>
    <w:rsid w:val="00E041EF"/>
    <w:rsid w:val="00E0463C"/>
    <w:rsid w:val="00E13D67"/>
    <w:rsid w:val="00E14A6B"/>
    <w:rsid w:val="00E206D2"/>
    <w:rsid w:val="00E23EE5"/>
    <w:rsid w:val="00E27D40"/>
    <w:rsid w:val="00E30A0A"/>
    <w:rsid w:val="00E3777F"/>
    <w:rsid w:val="00E401E3"/>
    <w:rsid w:val="00E51533"/>
    <w:rsid w:val="00E77135"/>
    <w:rsid w:val="00E9368E"/>
    <w:rsid w:val="00EE1B37"/>
    <w:rsid w:val="00EF2868"/>
    <w:rsid w:val="00F00AD7"/>
    <w:rsid w:val="00F10589"/>
    <w:rsid w:val="00F40636"/>
    <w:rsid w:val="00F47B21"/>
    <w:rsid w:val="00F6367B"/>
    <w:rsid w:val="00F74DED"/>
    <w:rsid w:val="00F75B16"/>
    <w:rsid w:val="00FC1F23"/>
    <w:rsid w:val="00FC6C72"/>
    <w:rsid w:val="00FF7094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iber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19</cp:revision>
  <cp:lastPrinted>2019-02-25T06:50:00Z</cp:lastPrinted>
  <dcterms:created xsi:type="dcterms:W3CDTF">2023-02-01T18:53:00Z</dcterms:created>
  <dcterms:modified xsi:type="dcterms:W3CDTF">2023-02-07T15:17:00Z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