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0084E07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5872A2">
        <w:rPr>
          <w:rFonts w:ascii="Calibri" w:hAnsi="Calibri" w:cs="font459"/>
          <w:sz w:val="20"/>
          <w:szCs w:val="20"/>
        </w:rPr>
        <w:t>22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72A2">
        <w:rPr>
          <w:rFonts w:ascii="Calibri" w:hAnsi="Calibri" w:cs="font459"/>
          <w:sz w:val="20"/>
          <w:szCs w:val="20"/>
        </w:rPr>
        <w:t>juni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4CAAD45D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 xml:space="preserve"> – </w:t>
      </w:r>
      <w:r w:rsidR="005872A2">
        <w:rPr>
          <w:rFonts w:ascii="Calibri" w:hAnsi="Calibri" w:cs="font459"/>
          <w:sz w:val="20"/>
          <w:szCs w:val="20"/>
        </w:rPr>
        <w:t>21.00</w:t>
      </w:r>
      <w:r w:rsidR="00256956"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2C551CF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72A2">
        <w:rPr>
          <w:rFonts w:ascii="Calibri" w:hAnsi="Calibri" w:cs="font459"/>
          <w:sz w:val="20"/>
          <w:szCs w:val="20"/>
        </w:rPr>
        <w:t>6</w:t>
      </w:r>
    </w:p>
    <w:p w14:paraId="52025732" w14:textId="50400385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2D4562">
        <w:rPr>
          <w:rFonts w:ascii="Calibri" w:hAnsi="Calibri" w:cs="Calibri"/>
          <w:bCs/>
          <w:sz w:val="20"/>
          <w:szCs w:val="20"/>
        </w:rPr>
        <w:t>Khaled niet aanwezig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73"/>
        <w:gridCol w:w="3350"/>
        <w:gridCol w:w="2126"/>
        <w:gridCol w:w="3969"/>
      </w:tblGrid>
      <w:tr w:rsidR="0025112D" w:rsidRPr="0025112D" w14:paraId="26F6E57D" w14:textId="359C5FDB" w:rsidTr="00F66727">
        <w:tc>
          <w:tcPr>
            <w:tcW w:w="473" w:type="dxa"/>
          </w:tcPr>
          <w:p w14:paraId="4839F6F2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126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969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F66727">
        <w:tc>
          <w:tcPr>
            <w:tcW w:w="473" w:type="dxa"/>
          </w:tcPr>
          <w:p w14:paraId="15BF75B9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126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F66727">
        <w:tc>
          <w:tcPr>
            <w:tcW w:w="473" w:type="dxa"/>
          </w:tcPr>
          <w:p w14:paraId="13052D14" w14:textId="77777777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F66727">
        <w:tc>
          <w:tcPr>
            <w:tcW w:w="473" w:type="dxa"/>
          </w:tcPr>
          <w:p w14:paraId="68CEBFE1" w14:textId="6EE82E64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126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370DDF" w14:textId="47E13FF6" w:rsidR="00260FBE" w:rsidRPr="004C55EB" w:rsidRDefault="00903E53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Corona laait op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 xml:space="preserve">; vraag is of we hier 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wel of niet 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 xml:space="preserve">over moeten </w:t>
            </w:r>
            <w:r w:rsidRPr="004C55EB">
              <w:rPr>
                <w:rFonts w:ascii="Calibri" w:hAnsi="Calibri"/>
                <w:sz w:val="20"/>
                <w:szCs w:val="20"/>
              </w:rPr>
              <w:t>communiceren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 xml:space="preserve"> b</w:t>
            </w:r>
            <w:r w:rsidRPr="004C55EB">
              <w:rPr>
                <w:rFonts w:ascii="Calibri" w:hAnsi="Calibri"/>
                <w:sz w:val="20"/>
                <w:szCs w:val="20"/>
              </w:rPr>
              <w:t>ij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 xml:space="preserve"> een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 besmetting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55EB">
              <w:rPr>
                <w:rFonts w:ascii="Calibri" w:hAnsi="Calibri"/>
                <w:sz w:val="20"/>
                <w:szCs w:val="20"/>
              </w:rPr>
              <w:t>(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>n</w:t>
            </w:r>
            <w:r w:rsidRPr="004C55EB">
              <w:rPr>
                <w:rFonts w:ascii="Calibri" w:hAnsi="Calibri"/>
                <w:sz w:val="20"/>
                <w:szCs w:val="20"/>
              </w:rPr>
              <w:t>u 5 dagen quarantaine)</w:t>
            </w:r>
            <w:r w:rsidR="00E050BE" w:rsidRPr="004C55EB">
              <w:rPr>
                <w:rFonts w:ascii="Calibri" w:hAnsi="Calibri"/>
                <w:sz w:val="20"/>
                <w:szCs w:val="20"/>
              </w:rPr>
              <w:t>.</w:t>
            </w:r>
            <w:r w:rsidR="009C7591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01F14" w:rsidRPr="004C55EB">
              <w:rPr>
                <w:rFonts w:ascii="Calibri" w:hAnsi="Calibri"/>
                <w:sz w:val="20"/>
                <w:szCs w:val="20"/>
              </w:rPr>
              <w:t xml:space="preserve">Carolien gaat korte opfrisser </w:t>
            </w:r>
            <w:r w:rsidR="009C65CA" w:rsidRPr="004C55EB">
              <w:rPr>
                <w:rFonts w:ascii="Calibri" w:hAnsi="Calibri"/>
                <w:sz w:val="20"/>
                <w:szCs w:val="20"/>
              </w:rPr>
              <w:t>op papier zetten</w:t>
            </w:r>
            <w:r w:rsidR="009C7591" w:rsidRPr="004C55EB">
              <w:rPr>
                <w:rFonts w:ascii="Calibri" w:hAnsi="Calibri"/>
                <w:sz w:val="20"/>
                <w:szCs w:val="20"/>
              </w:rPr>
              <w:t xml:space="preserve"> over de huidige regels voor de ouders</w:t>
            </w:r>
            <w:r w:rsidR="001646FC" w:rsidRPr="004C55EB">
              <w:rPr>
                <w:rFonts w:ascii="Calibri" w:hAnsi="Calibri"/>
                <w:sz w:val="20"/>
                <w:szCs w:val="20"/>
              </w:rPr>
              <w:t>.</w:t>
            </w:r>
          </w:p>
          <w:p w14:paraId="5C636078" w14:textId="7BE6E061" w:rsidR="00903E53" w:rsidRPr="004C55EB" w:rsidRDefault="00903E53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Ouderparticipatie</w:t>
            </w:r>
            <w:r w:rsidR="00B20768" w:rsidRPr="004C55EB">
              <w:rPr>
                <w:rFonts w:ascii="Calibri" w:hAnsi="Calibri"/>
                <w:sz w:val="20"/>
                <w:szCs w:val="20"/>
              </w:rPr>
              <w:t xml:space="preserve"> b</w:t>
            </w:r>
            <w:r w:rsidR="001646FC" w:rsidRPr="004C55EB">
              <w:rPr>
                <w:rFonts w:ascii="Calibri" w:hAnsi="Calibri"/>
                <w:sz w:val="20"/>
                <w:szCs w:val="20"/>
              </w:rPr>
              <w:t xml:space="preserve">ij </w:t>
            </w:r>
            <w:r w:rsidR="00316E1C" w:rsidRPr="004C55EB">
              <w:rPr>
                <w:rFonts w:ascii="Calibri" w:hAnsi="Calibri"/>
                <w:sz w:val="20"/>
                <w:szCs w:val="20"/>
              </w:rPr>
              <w:t xml:space="preserve">‘events’ altijd eerst de ouders uit de OV en MR vragen. </w:t>
            </w:r>
            <w:proofErr w:type="gramStart"/>
            <w:r w:rsidR="00316E1C" w:rsidRPr="004C55EB">
              <w:rPr>
                <w:rFonts w:ascii="Calibri" w:hAnsi="Calibri"/>
                <w:sz w:val="20"/>
                <w:szCs w:val="20"/>
              </w:rPr>
              <w:t>Indien</w:t>
            </w:r>
            <w:proofErr w:type="gramEnd"/>
            <w:r w:rsidR="00316E1C" w:rsidRPr="004C55EB">
              <w:rPr>
                <w:rFonts w:ascii="Calibri" w:hAnsi="Calibri"/>
                <w:sz w:val="20"/>
                <w:szCs w:val="20"/>
              </w:rPr>
              <w:t xml:space="preserve"> die niet kunnen, dan voor alle ouders openstellen</w:t>
            </w:r>
            <w:r w:rsidR="006903E1" w:rsidRPr="004C55EB">
              <w:rPr>
                <w:rFonts w:ascii="Calibri" w:hAnsi="Calibri"/>
                <w:sz w:val="20"/>
                <w:szCs w:val="20"/>
              </w:rPr>
              <w:t xml:space="preserve"> en loten.</w:t>
            </w:r>
            <w:r w:rsidR="0076417C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F06A0" w:rsidRPr="004C55EB">
              <w:rPr>
                <w:rFonts w:ascii="Calibri" w:hAnsi="Calibri"/>
                <w:sz w:val="20"/>
                <w:szCs w:val="20"/>
              </w:rPr>
              <w:t xml:space="preserve">Verantwoordelijkheden voor deze ouders tijdens een ‘event’ </w:t>
            </w:r>
            <w:r w:rsidR="00847F3F" w:rsidRPr="004C55EB">
              <w:rPr>
                <w:rFonts w:ascii="Calibri" w:hAnsi="Calibri"/>
                <w:sz w:val="20"/>
                <w:szCs w:val="20"/>
              </w:rPr>
              <w:t>duidelijk communiceren</w:t>
            </w:r>
            <w:r w:rsidR="00FC431D" w:rsidRPr="004C55EB">
              <w:rPr>
                <w:rFonts w:ascii="Calibri" w:hAnsi="Calibri"/>
                <w:sz w:val="20"/>
                <w:szCs w:val="20"/>
              </w:rPr>
              <w:t xml:space="preserve"> en goede afspraken maken.</w:t>
            </w:r>
          </w:p>
          <w:p w14:paraId="6263D70C" w14:textId="3135CFD5" w:rsidR="00C03D8C" w:rsidRPr="004C55EB" w:rsidRDefault="00C03D8C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 xml:space="preserve">Oudercommunicatie, vrijdag in nieuwsbrief </w:t>
            </w:r>
            <w:r w:rsidR="00B20768" w:rsidRPr="004C55EB">
              <w:rPr>
                <w:rFonts w:ascii="Calibri" w:hAnsi="Calibri"/>
                <w:sz w:val="20"/>
                <w:szCs w:val="20"/>
              </w:rPr>
              <w:t>gaat</w:t>
            </w:r>
            <w:r w:rsidR="000C2794" w:rsidRPr="004C55EB">
              <w:rPr>
                <w:rFonts w:ascii="Calibri" w:hAnsi="Calibri"/>
                <w:sz w:val="20"/>
                <w:szCs w:val="20"/>
              </w:rPr>
              <w:t xml:space="preserve"> de nieuwe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 formatie eruit</w:t>
            </w:r>
            <w:r w:rsidR="000C2794" w:rsidRPr="004C55EB">
              <w:rPr>
                <w:rFonts w:ascii="Calibri" w:hAnsi="Calibri"/>
                <w:sz w:val="20"/>
                <w:szCs w:val="20"/>
              </w:rPr>
              <w:t>.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C2794" w:rsidRPr="004C55EB">
              <w:rPr>
                <w:rFonts w:ascii="Calibri" w:hAnsi="Calibri"/>
                <w:sz w:val="20"/>
                <w:szCs w:val="20"/>
              </w:rPr>
              <w:t xml:space="preserve">Daarnaast ook de </w:t>
            </w:r>
            <w:r w:rsidRPr="004C55EB">
              <w:rPr>
                <w:rFonts w:ascii="Calibri" w:hAnsi="Calibri"/>
                <w:sz w:val="20"/>
                <w:szCs w:val="20"/>
              </w:rPr>
              <w:t>vakanties en studiedagen</w:t>
            </w:r>
            <w:r w:rsidR="000C2794" w:rsidRPr="004C55EB">
              <w:rPr>
                <w:rFonts w:ascii="Calibri" w:hAnsi="Calibri"/>
                <w:sz w:val="20"/>
                <w:szCs w:val="20"/>
              </w:rPr>
              <w:t xml:space="preserve"> voor 2022-2023.</w:t>
            </w:r>
          </w:p>
          <w:p w14:paraId="3AF2B65D" w14:textId="378D04AA" w:rsidR="00C03D8C" w:rsidRPr="004C55EB" w:rsidRDefault="000C2794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MR-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 xml:space="preserve">bijeenkomsten 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voor 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>2</w:t>
            </w:r>
            <w:r w:rsidRPr="004C55EB">
              <w:rPr>
                <w:rFonts w:ascii="Calibri" w:hAnsi="Calibri"/>
                <w:sz w:val="20"/>
                <w:szCs w:val="20"/>
              </w:rPr>
              <w:t>022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>-</w:t>
            </w:r>
            <w:r w:rsidR="00F201DC" w:rsidRPr="004C55EB">
              <w:rPr>
                <w:rFonts w:ascii="Calibri" w:hAnsi="Calibri"/>
                <w:sz w:val="20"/>
                <w:szCs w:val="20"/>
              </w:rPr>
              <w:t>20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>23</w:t>
            </w:r>
            <w:r w:rsidR="00F201DC" w:rsidRPr="004C55EB">
              <w:rPr>
                <w:rFonts w:ascii="Calibri" w:hAnsi="Calibri"/>
                <w:sz w:val="20"/>
                <w:szCs w:val="20"/>
              </w:rPr>
              <w:t xml:space="preserve"> zijn in concept gepland</w:t>
            </w:r>
            <w:r w:rsidR="00504473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201DC" w:rsidRPr="004C55EB">
              <w:rPr>
                <w:rFonts w:ascii="Calibri" w:hAnsi="Calibri"/>
                <w:sz w:val="20"/>
                <w:szCs w:val="20"/>
              </w:rPr>
              <w:t xml:space="preserve">en </w:t>
            </w:r>
            <w:r w:rsidR="00504473" w:rsidRPr="004C55EB">
              <w:rPr>
                <w:rFonts w:ascii="Calibri" w:hAnsi="Calibri"/>
                <w:sz w:val="20"/>
                <w:szCs w:val="20"/>
              </w:rPr>
              <w:t>doorgesproken.</w:t>
            </w:r>
          </w:p>
        </w:tc>
      </w:tr>
      <w:tr w:rsidR="001033C3" w14:paraId="4F7FAA3D" w14:textId="77777777" w:rsidTr="00F66727">
        <w:tc>
          <w:tcPr>
            <w:tcW w:w="473" w:type="dxa"/>
          </w:tcPr>
          <w:p w14:paraId="7AC97A2F" w14:textId="5C48A9FD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126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969" w:type="dxa"/>
          </w:tcPr>
          <w:p w14:paraId="0CE1DA48" w14:textId="6D68F7E1" w:rsidR="00260FBE" w:rsidRPr="004C55EB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Geen bijzonderheden.</w:t>
            </w:r>
          </w:p>
        </w:tc>
      </w:tr>
      <w:tr w:rsidR="005872A2" w14:paraId="16B6CC2E" w14:textId="77777777" w:rsidTr="00F66727">
        <w:tc>
          <w:tcPr>
            <w:tcW w:w="473" w:type="dxa"/>
          </w:tcPr>
          <w:p w14:paraId="4D1107A1" w14:textId="5295F689" w:rsidR="005872A2" w:rsidRPr="000540C9" w:rsidRDefault="005872A2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350" w:type="dxa"/>
          </w:tcPr>
          <w:p w14:paraId="215E9943" w14:textId="28945875" w:rsidR="005872A2" w:rsidRPr="001033C3" w:rsidRDefault="0035478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Terugkoppeling </w:t>
            </w:r>
            <w:r w:rsidR="00D22D50">
              <w:rPr>
                <w:rFonts w:ascii="Calibri" w:hAnsi="Calibri"/>
                <w:sz w:val="20"/>
                <w:szCs w:val="20"/>
              </w:rPr>
              <w:t>‘</w:t>
            </w:r>
            <w:r>
              <w:rPr>
                <w:rFonts w:ascii="Calibri" w:hAnsi="Calibri"/>
                <w:sz w:val="20"/>
                <w:szCs w:val="20"/>
              </w:rPr>
              <w:t>Formatie-team</w:t>
            </w:r>
            <w:r w:rsidR="00D22D50">
              <w:rPr>
                <w:rFonts w:ascii="Calibri" w:hAnsi="Calibri"/>
                <w:sz w:val="20"/>
                <w:szCs w:val="20"/>
              </w:rPr>
              <w:t>’ (1-6)</w:t>
            </w:r>
            <w:r w:rsidR="005872A2">
              <w:rPr>
                <w:rFonts w:ascii="Calibri" w:hAnsi="Calibri"/>
                <w:sz w:val="20"/>
                <w:szCs w:val="20"/>
              </w:rPr>
              <w:t xml:space="preserve"> groepsverdeling</w:t>
            </w:r>
            <w:r>
              <w:rPr>
                <w:rFonts w:ascii="Calibri" w:hAnsi="Calibri"/>
                <w:sz w:val="20"/>
                <w:szCs w:val="20"/>
              </w:rPr>
              <w:t>/formatieplan volgend schooljaar</w:t>
            </w:r>
          </w:p>
        </w:tc>
        <w:tc>
          <w:tcPr>
            <w:tcW w:w="2126" w:type="dxa"/>
          </w:tcPr>
          <w:p w14:paraId="452A56C9" w14:textId="7A1FE06B" w:rsidR="005872A2" w:rsidRDefault="0035478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</w:t>
            </w:r>
            <w:r w:rsidR="007C7555">
              <w:rPr>
                <w:rFonts w:ascii="Calibri" w:hAnsi="Calibri"/>
                <w:sz w:val="20"/>
                <w:szCs w:val="20"/>
              </w:rPr>
              <w:t xml:space="preserve"> PMR</w:t>
            </w:r>
          </w:p>
        </w:tc>
        <w:tc>
          <w:tcPr>
            <w:tcW w:w="3969" w:type="dxa"/>
          </w:tcPr>
          <w:p w14:paraId="5EB186BD" w14:textId="77777777" w:rsidR="005872A2" w:rsidRPr="004C55EB" w:rsidRDefault="00903E53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Zie formatie-voorstel, het team is geïnformeerd</w:t>
            </w:r>
            <w:r w:rsidR="00C03D8C" w:rsidRPr="004C55EB">
              <w:rPr>
                <w:rFonts w:ascii="Calibri" w:hAnsi="Calibri"/>
                <w:sz w:val="20"/>
                <w:szCs w:val="20"/>
              </w:rPr>
              <w:t xml:space="preserve"> en geeft allen steun aan het plan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 xml:space="preserve">Carolien geeft toelichting. </w:t>
            </w:r>
            <w:r w:rsidR="004F6122" w:rsidRPr="004C55EB">
              <w:rPr>
                <w:rFonts w:ascii="Calibri" w:hAnsi="Calibri"/>
                <w:sz w:val="20"/>
                <w:szCs w:val="20"/>
              </w:rPr>
              <w:t>Voorwaarden formatie zijn opgesteld</w:t>
            </w:r>
            <w:r w:rsidR="00A309C6" w:rsidRPr="004C55EB">
              <w:rPr>
                <w:rFonts w:ascii="Calibri" w:hAnsi="Calibri"/>
                <w:sz w:val="20"/>
                <w:szCs w:val="20"/>
              </w:rPr>
              <w:t>,</w:t>
            </w:r>
            <w:r w:rsidR="004F6122" w:rsidRPr="004C55EB">
              <w:rPr>
                <w:rFonts w:ascii="Calibri" w:hAnsi="Calibri"/>
                <w:sz w:val="20"/>
                <w:szCs w:val="20"/>
              </w:rPr>
              <w:t xml:space="preserve"> vervolgens</w:t>
            </w:r>
            <w:r w:rsidR="00A309C6" w:rsidRPr="004C55EB">
              <w:rPr>
                <w:rFonts w:ascii="Calibri" w:hAnsi="Calibri"/>
                <w:sz w:val="20"/>
                <w:szCs w:val="20"/>
              </w:rPr>
              <w:t xml:space="preserve"> zijn er keuzes gemaakt en een verdeling gemaakt. </w:t>
            </w:r>
            <w:r w:rsidR="00CB7D82" w:rsidRPr="004C55EB">
              <w:rPr>
                <w:rFonts w:ascii="Calibri" w:hAnsi="Calibri"/>
                <w:sz w:val="20"/>
                <w:szCs w:val="20"/>
              </w:rPr>
              <w:t xml:space="preserve">Werkdrukgelden gaan volledig naar de units. De units organiseren </w:t>
            </w:r>
            <w:r w:rsidR="00473A3C" w:rsidRPr="004C55EB">
              <w:rPr>
                <w:rFonts w:ascii="Calibri" w:hAnsi="Calibri"/>
                <w:sz w:val="20"/>
                <w:szCs w:val="20"/>
              </w:rPr>
              <w:t>zelf een aantal events.</w:t>
            </w:r>
          </w:p>
          <w:p w14:paraId="045046BF" w14:textId="7EC66F49" w:rsidR="00942939" w:rsidRPr="004C55EB" w:rsidRDefault="00942939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Formatie wordt verder door</w:t>
            </w:r>
            <w:r w:rsidR="009157DF" w:rsidRPr="004C55EB">
              <w:rPr>
                <w:rFonts w:ascii="Calibri" w:hAnsi="Calibri"/>
                <w:sz w:val="20"/>
                <w:szCs w:val="20"/>
              </w:rPr>
              <w:t>genomen</w:t>
            </w:r>
            <w:r w:rsidR="0001298D" w:rsidRPr="004C55EB">
              <w:rPr>
                <w:rFonts w:ascii="Calibri" w:hAnsi="Calibri"/>
                <w:sz w:val="20"/>
                <w:szCs w:val="20"/>
              </w:rPr>
              <w:t xml:space="preserve"> en is akkoord.</w:t>
            </w:r>
          </w:p>
        </w:tc>
      </w:tr>
      <w:tr w:rsidR="00547A23" w14:paraId="7173CBFD" w14:textId="77777777" w:rsidTr="00F66727">
        <w:tc>
          <w:tcPr>
            <w:tcW w:w="473" w:type="dxa"/>
          </w:tcPr>
          <w:p w14:paraId="493CB04D" w14:textId="2180E09A" w:rsidR="00547A23" w:rsidRDefault="007219F2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50" w:type="dxa"/>
          </w:tcPr>
          <w:p w14:paraId="38444700" w14:textId="05DB53A8" w:rsidR="00547A23" w:rsidRPr="00C03D8C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strike/>
                <w:sz w:val="20"/>
                <w:szCs w:val="20"/>
              </w:rPr>
              <w:t>MARAP?</w:t>
            </w:r>
            <w:r w:rsidR="00C03D8C" w:rsidRPr="00C03D8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03D8C">
              <w:rPr>
                <w:rFonts w:ascii="Calibri" w:hAnsi="Calibri"/>
                <w:sz w:val="20"/>
                <w:szCs w:val="20"/>
              </w:rPr>
              <w:t xml:space="preserve">Zelfevaluatie op schoolplan, SAAM*&amp;vatting </w:t>
            </w:r>
          </w:p>
        </w:tc>
        <w:tc>
          <w:tcPr>
            <w:tcW w:w="2126" w:type="dxa"/>
          </w:tcPr>
          <w:p w14:paraId="2E649A5A" w14:textId="7627CD7C" w:rsidR="00547A23" w:rsidRDefault="003D73F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 MR</w:t>
            </w:r>
          </w:p>
        </w:tc>
        <w:tc>
          <w:tcPr>
            <w:tcW w:w="3969" w:type="dxa"/>
          </w:tcPr>
          <w:p w14:paraId="6A53C1AF" w14:textId="1BC2E6DE" w:rsidR="00C03D8C" w:rsidRPr="004C55EB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 xml:space="preserve">Met RvT (Raad van Toezicht) en bestuur SAAM* is er besloten </w:t>
            </w:r>
            <w:r w:rsidRPr="004C55EB">
              <w:rPr>
                <w:rFonts w:ascii="Calibri" w:hAnsi="Calibri"/>
                <w:sz w:val="20"/>
                <w:szCs w:val="20"/>
              </w:rPr>
              <w:lastRenderedPageBreak/>
              <w:t xml:space="preserve">dat het schoolplan </w:t>
            </w:r>
            <w:r w:rsidR="00C25BA1" w:rsidRPr="004C55EB">
              <w:rPr>
                <w:rFonts w:ascii="Calibri" w:hAnsi="Calibri"/>
                <w:sz w:val="20"/>
                <w:szCs w:val="20"/>
              </w:rPr>
              <w:t>i.p.v.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 ’20-’24 verlengd naar ’20-’25 i.v.m. coronaperiode. </w:t>
            </w:r>
            <w:r w:rsidR="00473159" w:rsidRPr="004C55EB">
              <w:rPr>
                <w:rFonts w:ascii="Calibri" w:hAnsi="Calibri"/>
                <w:sz w:val="20"/>
                <w:szCs w:val="20"/>
              </w:rPr>
              <w:t>Zelfevaluatie</w:t>
            </w:r>
            <w:r w:rsidR="00DC4C0C" w:rsidRPr="004C55EB">
              <w:rPr>
                <w:rFonts w:ascii="Calibri" w:hAnsi="Calibri"/>
                <w:sz w:val="20"/>
                <w:szCs w:val="20"/>
              </w:rPr>
              <w:t xml:space="preserve"> (2</w:t>
            </w:r>
            <w:r w:rsidR="00DC4C0C" w:rsidRPr="004C55EB">
              <w:rPr>
                <w:rFonts w:ascii="Calibri" w:hAnsi="Calibri"/>
                <w:sz w:val="20"/>
                <w:szCs w:val="20"/>
                <w:vertAlign w:val="superscript"/>
              </w:rPr>
              <w:t>e</w:t>
            </w:r>
            <w:r w:rsidR="00DC4C0C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30B8F" w:rsidRPr="004C55EB">
              <w:rPr>
                <w:rFonts w:ascii="Calibri" w:hAnsi="Calibri"/>
                <w:sz w:val="20"/>
                <w:szCs w:val="20"/>
              </w:rPr>
              <w:t xml:space="preserve">versie) </w:t>
            </w:r>
            <w:r w:rsidR="00473159" w:rsidRPr="004C55EB">
              <w:rPr>
                <w:rFonts w:ascii="Calibri" w:hAnsi="Calibri"/>
                <w:sz w:val="20"/>
                <w:szCs w:val="20"/>
              </w:rPr>
              <w:t xml:space="preserve">ligt nu bij MT van SAAM. </w:t>
            </w:r>
            <w:r w:rsidR="002221AD" w:rsidRPr="004C55EB">
              <w:rPr>
                <w:rFonts w:ascii="Calibri" w:hAnsi="Calibri"/>
                <w:sz w:val="20"/>
                <w:szCs w:val="20"/>
              </w:rPr>
              <w:t xml:space="preserve">Deze is gebaseerd op het schoolplan. </w:t>
            </w:r>
            <w:r w:rsidR="00473159" w:rsidRPr="004C55EB">
              <w:rPr>
                <w:rFonts w:ascii="Calibri" w:hAnsi="Calibri"/>
                <w:sz w:val="20"/>
                <w:szCs w:val="20"/>
              </w:rPr>
              <w:t>Nog geen feedback gehad.</w:t>
            </w:r>
          </w:p>
          <w:p w14:paraId="64822FE2" w14:textId="77F3CD13" w:rsidR="00547A23" w:rsidRPr="004C55EB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 xml:space="preserve">Tijdens de vergadering zelfevaluatie en </w:t>
            </w:r>
            <w:r w:rsidR="00244908" w:rsidRPr="004C55EB">
              <w:rPr>
                <w:rFonts w:ascii="Calibri" w:hAnsi="Calibri"/>
                <w:sz w:val="20"/>
                <w:szCs w:val="20"/>
              </w:rPr>
              <w:t>‘</w:t>
            </w:r>
            <w:r w:rsidRPr="004C55EB">
              <w:rPr>
                <w:rFonts w:ascii="Calibri" w:hAnsi="Calibri"/>
                <w:sz w:val="20"/>
                <w:szCs w:val="20"/>
              </w:rPr>
              <w:t>SAAM&amp;</w:t>
            </w:r>
            <w:r w:rsidR="00F201DC" w:rsidRPr="004C55EB">
              <w:rPr>
                <w:rFonts w:ascii="Calibri" w:hAnsi="Calibri"/>
                <w:sz w:val="20"/>
                <w:szCs w:val="20"/>
              </w:rPr>
              <w:t>V</w:t>
            </w:r>
            <w:r w:rsidRPr="004C55EB">
              <w:rPr>
                <w:rFonts w:ascii="Calibri" w:hAnsi="Calibri"/>
                <w:sz w:val="20"/>
                <w:szCs w:val="20"/>
              </w:rPr>
              <w:t>atting</w:t>
            </w:r>
            <w:r w:rsidR="00244908" w:rsidRPr="004C55EB">
              <w:rPr>
                <w:rFonts w:ascii="Calibri" w:hAnsi="Calibri"/>
                <w:sz w:val="20"/>
                <w:szCs w:val="20"/>
              </w:rPr>
              <w:t>’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44908" w:rsidRPr="004C55EB">
              <w:rPr>
                <w:rFonts w:ascii="Calibri" w:hAnsi="Calibri"/>
                <w:sz w:val="20"/>
                <w:szCs w:val="20"/>
              </w:rPr>
              <w:t>intern</w:t>
            </w:r>
            <w:r w:rsidR="003429B8" w:rsidRPr="004C55E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C55EB">
              <w:rPr>
                <w:rFonts w:ascii="Calibri" w:hAnsi="Calibri"/>
                <w:sz w:val="20"/>
                <w:szCs w:val="20"/>
              </w:rPr>
              <w:t xml:space="preserve">delen en toelichten. </w:t>
            </w:r>
            <w:r w:rsidR="00244908" w:rsidRPr="004C55EB">
              <w:rPr>
                <w:rFonts w:ascii="Calibri" w:hAnsi="Calibri"/>
                <w:sz w:val="20"/>
                <w:szCs w:val="20"/>
              </w:rPr>
              <w:t>Hier is nog</w:t>
            </w:r>
            <w:r w:rsidR="00B30B8F" w:rsidRPr="004C55EB">
              <w:rPr>
                <w:rFonts w:ascii="Calibri" w:hAnsi="Calibri"/>
                <w:sz w:val="20"/>
                <w:szCs w:val="20"/>
              </w:rPr>
              <w:t xml:space="preserve"> geen tijd voor </w:t>
            </w:r>
            <w:r w:rsidR="00244908" w:rsidRPr="004C55EB">
              <w:rPr>
                <w:rFonts w:ascii="Calibri" w:hAnsi="Calibri"/>
                <w:sz w:val="20"/>
                <w:szCs w:val="20"/>
              </w:rPr>
              <w:t>geweest</w:t>
            </w:r>
            <w:r w:rsidR="00B30B8F" w:rsidRPr="004C55EB">
              <w:rPr>
                <w:rFonts w:ascii="Calibri" w:hAnsi="Calibri"/>
                <w:sz w:val="20"/>
                <w:szCs w:val="20"/>
              </w:rPr>
              <w:t xml:space="preserve">, maar die komt nog via de mail naar de MR </w:t>
            </w:r>
            <w:r w:rsidR="00C25BA1" w:rsidRPr="004C55EB">
              <w:rPr>
                <w:rFonts w:ascii="Calibri" w:hAnsi="Calibri"/>
                <w:sz w:val="20"/>
                <w:szCs w:val="20"/>
              </w:rPr>
              <w:t>(binnen</w:t>
            </w:r>
            <w:r w:rsidR="00B30B8F" w:rsidRPr="004C55EB">
              <w:rPr>
                <w:rFonts w:ascii="Calibri" w:hAnsi="Calibri"/>
                <w:sz w:val="20"/>
                <w:szCs w:val="20"/>
              </w:rPr>
              <w:t xml:space="preserve"> 2 </w:t>
            </w:r>
            <w:r w:rsidR="00C25BA1" w:rsidRPr="004C55EB">
              <w:rPr>
                <w:rFonts w:ascii="Calibri" w:hAnsi="Calibri"/>
                <w:sz w:val="20"/>
                <w:szCs w:val="20"/>
              </w:rPr>
              <w:t>à</w:t>
            </w:r>
            <w:r w:rsidR="00B30B8F" w:rsidRPr="004C55EB">
              <w:rPr>
                <w:rFonts w:ascii="Calibri" w:hAnsi="Calibri"/>
                <w:sz w:val="20"/>
                <w:szCs w:val="20"/>
              </w:rPr>
              <w:t xml:space="preserve"> 3 weken).</w:t>
            </w:r>
          </w:p>
        </w:tc>
      </w:tr>
      <w:tr w:rsidR="00FA0CE3" w14:paraId="7AF63460" w14:textId="77777777" w:rsidTr="00F66727">
        <w:tc>
          <w:tcPr>
            <w:tcW w:w="473" w:type="dxa"/>
          </w:tcPr>
          <w:p w14:paraId="026DE356" w14:textId="29CEA1E1" w:rsidR="00FA0CE3" w:rsidRDefault="003D73F5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</w:t>
            </w:r>
            <w:r w:rsidR="00FA0CE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4CB6FA76" w14:textId="5D7A5044" w:rsidR="00FA0CE3" w:rsidRDefault="007C755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Nascholingsplan komend schooljaar</w:t>
            </w:r>
          </w:p>
        </w:tc>
        <w:tc>
          <w:tcPr>
            <w:tcW w:w="2126" w:type="dxa"/>
          </w:tcPr>
          <w:p w14:paraId="22B35EC2" w14:textId="7D09B9A5" w:rsidR="00FA0CE3" w:rsidRDefault="007C755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PMR</w:t>
            </w:r>
          </w:p>
        </w:tc>
        <w:tc>
          <w:tcPr>
            <w:tcW w:w="3969" w:type="dxa"/>
          </w:tcPr>
          <w:p w14:paraId="5792DDCD" w14:textId="722BA793" w:rsidR="00FA0CE3" w:rsidRPr="00707973" w:rsidRDefault="00406823" w:rsidP="00707973">
            <w:pPr>
              <w:rPr>
                <w:rFonts w:ascii="Calibri" w:hAnsi="Calibri"/>
                <w:sz w:val="20"/>
                <w:szCs w:val="20"/>
              </w:rPr>
            </w:pPr>
            <w:r w:rsidRPr="00707973">
              <w:rPr>
                <w:rFonts w:ascii="Calibri" w:hAnsi="Calibri"/>
                <w:sz w:val="20"/>
                <w:szCs w:val="20"/>
              </w:rPr>
              <w:t xml:space="preserve">Onderbouw: Elske opl. </w:t>
            </w:r>
            <w:r w:rsidR="00F86D7A" w:rsidRPr="00707973">
              <w:rPr>
                <w:rFonts w:ascii="Calibri" w:hAnsi="Calibri"/>
                <w:sz w:val="20"/>
                <w:szCs w:val="20"/>
              </w:rPr>
              <w:t>‘Het jonge kind’ doen</w:t>
            </w:r>
            <w:r w:rsidR="00CE2FD7">
              <w:rPr>
                <w:rFonts w:ascii="Calibri" w:hAnsi="Calibri"/>
                <w:sz w:val="20"/>
                <w:szCs w:val="20"/>
              </w:rPr>
              <w:t xml:space="preserve"> in najaar.</w:t>
            </w:r>
          </w:p>
          <w:p w14:paraId="647182D1" w14:textId="52CA749F" w:rsidR="00F86D7A" w:rsidRPr="00FC40CE" w:rsidRDefault="00F86D7A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C40CE">
              <w:rPr>
                <w:rFonts w:ascii="Calibri" w:hAnsi="Calibri"/>
                <w:sz w:val="20"/>
                <w:szCs w:val="20"/>
              </w:rPr>
              <w:t xml:space="preserve">NT2 Wesley, Sanja en </w:t>
            </w:r>
            <w:r w:rsidR="00FC40CE" w:rsidRPr="00FC40CE">
              <w:rPr>
                <w:rFonts w:ascii="Calibri" w:hAnsi="Calibri"/>
                <w:sz w:val="20"/>
                <w:szCs w:val="20"/>
              </w:rPr>
              <w:t>Jenna;</w:t>
            </w:r>
          </w:p>
          <w:p w14:paraId="3BE8E5D5" w14:textId="1AB1F298" w:rsidR="00FC40CE" w:rsidRDefault="00FC40CE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 w:rsidRPr="00FC40CE">
              <w:rPr>
                <w:rFonts w:ascii="Calibri" w:hAnsi="Calibri"/>
                <w:sz w:val="20"/>
                <w:szCs w:val="20"/>
              </w:rPr>
              <w:t>OB cursus ‘</w:t>
            </w:r>
            <w:r w:rsidR="00244908">
              <w:rPr>
                <w:rFonts w:ascii="Calibri" w:hAnsi="Calibri"/>
                <w:sz w:val="20"/>
                <w:szCs w:val="20"/>
              </w:rPr>
              <w:t>M</w:t>
            </w:r>
            <w:r w:rsidRPr="00FC40CE">
              <w:rPr>
                <w:rFonts w:ascii="Calibri" w:hAnsi="Calibri"/>
                <w:sz w:val="20"/>
                <w:szCs w:val="20"/>
              </w:rPr>
              <w:t>ijn kleutergroep’ is gevolgd;</w:t>
            </w:r>
          </w:p>
          <w:p w14:paraId="3E532DB0" w14:textId="77777777" w:rsidR="00990947" w:rsidRDefault="00707973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MB Niels en Wesley hebben</w:t>
            </w:r>
            <w:r w:rsidR="00990947">
              <w:rPr>
                <w:rFonts w:ascii="Calibri" w:hAnsi="Calibri"/>
                <w:sz w:val="20"/>
                <w:szCs w:val="20"/>
              </w:rPr>
              <w:t xml:space="preserve"> ‘Bouw’ (leesondersteuning) gedaan.</w:t>
            </w:r>
          </w:p>
          <w:p w14:paraId="7B45B7F7" w14:textId="1D382A04" w:rsidR="005E07C4" w:rsidRDefault="00244908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‘</w:t>
            </w:r>
            <w:r w:rsidR="00990947">
              <w:rPr>
                <w:rFonts w:ascii="Calibri" w:hAnsi="Calibri"/>
                <w:sz w:val="20"/>
                <w:szCs w:val="20"/>
              </w:rPr>
              <w:t>Rots en Water</w:t>
            </w:r>
            <w:r>
              <w:rPr>
                <w:rFonts w:ascii="Calibri" w:hAnsi="Calibri"/>
                <w:sz w:val="20"/>
                <w:szCs w:val="20"/>
              </w:rPr>
              <w:t>’</w:t>
            </w:r>
            <w:r w:rsidR="00990947">
              <w:rPr>
                <w:rFonts w:ascii="Calibri" w:hAnsi="Calibri"/>
                <w:sz w:val="20"/>
                <w:szCs w:val="20"/>
              </w:rPr>
              <w:t xml:space="preserve"> gaat </w:t>
            </w:r>
            <w:r w:rsidR="00086A4F">
              <w:rPr>
                <w:rFonts w:ascii="Calibri" w:hAnsi="Calibri"/>
                <w:sz w:val="20"/>
                <w:szCs w:val="20"/>
              </w:rPr>
              <w:t>ook nog komen (herfst)</w:t>
            </w:r>
            <w:r>
              <w:rPr>
                <w:rFonts w:ascii="Calibri" w:hAnsi="Calibri"/>
                <w:sz w:val="20"/>
                <w:szCs w:val="20"/>
              </w:rPr>
              <w:t xml:space="preserve"> voor</w:t>
            </w:r>
            <w:r w:rsidR="00086A4F">
              <w:rPr>
                <w:rFonts w:ascii="Calibri" w:hAnsi="Calibri"/>
                <w:sz w:val="20"/>
                <w:szCs w:val="20"/>
              </w:rPr>
              <w:t xml:space="preserve"> Wesley, Dirk en Eva.</w:t>
            </w:r>
          </w:p>
          <w:p w14:paraId="799421AA" w14:textId="59D2D2D8" w:rsidR="00707973" w:rsidRDefault="005E07C4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Rik gaat komend jaar nog een cursus/opleiding doen; </w:t>
            </w:r>
            <w:r w:rsidR="00F66727">
              <w:rPr>
                <w:rFonts w:ascii="Calibri" w:hAnsi="Calibri"/>
                <w:sz w:val="20"/>
                <w:szCs w:val="20"/>
              </w:rPr>
              <w:t xml:space="preserve">een </w:t>
            </w:r>
            <w:r>
              <w:rPr>
                <w:rFonts w:ascii="Calibri" w:hAnsi="Calibri"/>
                <w:sz w:val="20"/>
                <w:szCs w:val="20"/>
              </w:rPr>
              <w:t>management specialisatie.</w:t>
            </w:r>
          </w:p>
          <w:p w14:paraId="79DB4780" w14:textId="6074E664" w:rsidR="004112CD" w:rsidRDefault="004112CD" w:rsidP="00FC40CE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Lisanne (IB) gaat ‘Basis bekwaam’ doen.</w:t>
            </w:r>
          </w:p>
          <w:p w14:paraId="5646F372" w14:textId="20091161" w:rsidR="00903E53" w:rsidRPr="001A4655" w:rsidRDefault="004112CD" w:rsidP="005872A2">
            <w:pPr>
              <w:pStyle w:val="Lijstalinea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Carolien gaat zelf opnieuw </w:t>
            </w:r>
            <w:r w:rsidR="00951F7E">
              <w:rPr>
                <w:rFonts w:ascii="Calibri" w:hAnsi="Calibri"/>
                <w:sz w:val="20"/>
                <w:szCs w:val="20"/>
              </w:rPr>
              <w:t xml:space="preserve">‘Vakbekwaam’ doen. Dit is niet gelukt wegens drukte en </w:t>
            </w:r>
            <w:r w:rsidR="00C25BA1">
              <w:rPr>
                <w:rFonts w:ascii="Calibri" w:hAnsi="Calibri"/>
                <w:sz w:val="20"/>
                <w:szCs w:val="20"/>
              </w:rPr>
              <w:t>privéomstandigheden</w:t>
            </w:r>
            <w:r w:rsidR="00951F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D22D50" w14:paraId="6225D4CB" w14:textId="77777777" w:rsidTr="00F66727">
        <w:tc>
          <w:tcPr>
            <w:tcW w:w="473" w:type="dxa"/>
          </w:tcPr>
          <w:p w14:paraId="2948F0F5" w14:textId="63F21255" w:rsidR="00D22D50" w:rsidRDefault="003D73F5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D22D5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6E50A51E" w14:textId="3346C325" w:rsidR="00D22D50" w:rsidRDefault="00D22D5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Terugkoppeling </w:t>
            </w:r>
            <w:r w:rsidR="003D73F5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besteding</w:t>
            </w:r>
            <w:r w:rsidR="003D73F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NPO-gelden</w:t>
            </w:r>
          </w:p>
        </w:tc>
        <w:tc>
          <w:tcPr>
            <w:tcW w:w="2126" w:type="dxa"/>
          </w:tcPr>
          <w:p w14:paraId="26DB5FFE" w14:textId="2CDBBF1A" w:rsidR="00D22D50" w:rsidRDefault="00D22D5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969" w:type="dxa"/>
          </w:tcPr>
          <w:p w14:paraId="48FE62EC" w14:textId="0A71B72F" w:rsidR="00D22D50" w:rsidRPr="00903E53" w:rsidRDefault="00903E53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4C55EB">
              <w:rPr>
                <w:rFonts w:ascii="Calibri" w:hAnsi="Calibri"/>
                <w:sz w:val="20"/>
                <w:szCs w:val="20"/>
              </w:rPr>
              <w:t>Zie bijlage inzet NPO.</w:t>
            </w:r>
            <w:r w:rsidR="000A6B0B" w:rsidRPr="004C55EB">
              <w:rPr>
                <w:rFonts w:ascii="Calibri" w:hAnsi="Calibri"/>
                <w:sz w:val="20"/>
                <w:szCs w:val="20"/>
              </w:rPr>
              <w:t xml:space="preserve"> Bijlage </w:t>
            </w:r>
            <w:r w:rsidR="000A6B0B">
              <w:rPr>
                <w:rFonts w:ascii="Calibri" w:hAnsi="Calibri"/>
                <w:color w:val="000000" w:themeColor="text1"/>
                <w:sz w:val="20"/>
                <w:szCs w:val="20"/>
              </w:rPr>
              <w:t>is besproken.</w:t>
            </w:r>
            <w:r w:rsidR="005457D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Geld is inzetbaar t/m juli 2025. Dat is fijn</w:t>
            </w:r>
            <w:r w:rsidR="00F31BA7">
              <w:rPr>
                <w:rFonts w:ascii="Calibri" w:hAnsi="Calibri"/>
                <w:color w:val="000000" w:themeColor="text1"/>
                <w:sz w:val="20"/>
                <w:szCs w:val="20"/>
              </w:rPr>
              <w:t>!</w:t>
            </w:r>
            <w:r w:rsidR="00AB0D1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A74333">
              <w:rPr>
                <w:rFonts w:ascii="Calibri" w:hAnsi="Calibri"/>
                <w:color w:val="000000" w:themeColor="text1"/>
                <w:sz w:val="20"/>
                <w:szCs w:val="20"/>
              </w:rPr>
              <w:t>Er zijn ideeën genoeg om dit nuttig te besteden</w:t>
            </w:r>
            <w:r w:rsidR="003F487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C25BA1">
              <w:rPr>
                <w:rFonts w:ascii="Calibri" w:hAnsi="Calibri"/>
                <w:color w:val="000000" w:themeColor="text1"/>
                <w:sz w:val="20"/>
                <w:szCs w:val="20"/>
              </w:rPr>
              <w:t>(bv.</w:t>
            </w:r>
            <w:r w:rsidR="003F487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Logo3000</w:t>
            </w:r>
            <w:r w:rsidR="0095398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voor de middenbouw</w:t>
            </w:r>
            <w:r w:rsidR="003F4874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="00011B3C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43593" w14:paraId="40541271" w14:textId="77777777" w:rsidTr="00F66727">
        <w:tc>
          <w:tcPr>
            <w:tcW w:w="473" w:type="dxa"/>
          </w:tcPr>
          <w:p w14:paraId="0967D675" w14:textId="60736919" w:rsidR="00543593" w:rsidRPr="000540C9" w:rsidRDefault="003D73F5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969" w:type="dxa"/>
          </w:tcPr>
          <w:p w14:paraId="6237E639" w14:textId="3C69B5DB" w:rsidR="00C03D8C" w:rsidRPr="00F66727" w:rsidRDefault="00903E53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F66727">
              <w:rPr>
                <w:rFonts w:ascii="Calibri" w:hAnsi="Calibri"/>
                <w:sz w:val="20"/>
                <w:szCs w:val="20"/>
              </w:rPr>
              <w:t xml:space="preserve">Zie </w:t>
            </w:r>
            <w:r w:rsidR="00C03D8C" w:rsidRPr="00F66727">
              <w:rPr>
                <w:rFonts w:ascii="Calibri" w:hAnsi="Calibri"/>
                <w:sz w:val="20"/>
                <w:szCs w:val="20"/>
              </w:rPr>
              <w:t xml:space="preserve">site </w:t>
            </w:r>
            <w:hyperlink r:id="rId8" w:history="1">
              <w:r w:rsidR="00C03D8C" w:rsidRPr="00C03D8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IKC West (Integraal Kind Centrum) Uden | Gemeente Maashorst</w:t>
              </w:r>
            </w:hyperlink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  <w:r w:rsidR="00C03D8C" w:rsidRPr="00F66727">
              <w:rPr>
                <w:rFonts w:ascii="Calibri" w:hAnsi="Calibri"/>
                <w:sz w:val="20"/>
                <w:szCs w:val="20"/>
              </w:rPr>
              <w:t xml:space="preserve">voor laatste informatie gedeeld </w:t>
            </w:r>
          </w:p>
          <w:p w14:paraId="71A96DFB" w14:textId="77777777" w:rsidR="00C03D8C" w:rsidRPr="00F66727" w:rsidRDefault="003429B8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F66727">
              <w:rPr>
                <w:rFonts w:ascii="Calibri" w:hAnsi="Calibri"/>
                <w:sz w:val="20"/>
                <w:szCs w:val="20"/>
              </w:rPr>
              <w:t xml:space="preserve">Terugblik </w:t>
            </w:r>
            <w:r w:rsidR="00C03D8C" w:rsidRPr="00F66727">
              <w:rPr>
                <w:rFonts w:ascii="Calibri" w:hAnsi="Calibri"/>
                <w:sz w:val="20"/>
                <w:szCs w:val="20"/>
              </w:rPr>
              <w:t>op informatiebijeenkomst 21-06-’22 voor ouders.</w:t>
            </w:r>
          </w:p>
          <w:p w14:paraId="03B7A33D" w14:textId="0B4BBC04" w:rsidR="00FC53CB" w:rsidRPr="005402E6" w:rsidRDefault="00635061" w:rsidP="0080649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Voorlichtingsmiddag was redelijk goed bezocht; zorgen over ‘Christelijk’ </w:t>
            </w:r>
            <w:r w:rsidR="00C25BA1">
              <w:rPr>
                <w:rFonts w:ascii="Calibri" w:hAnsi="Calibri"/>
                <w:color w:val="000000" w:themeColor="text1"/>
                <w:sz w:val="20"/>
                <w:szCs w:val="20"/>
              </w:rPr>
              <w:t>vs.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‘Openbaar’,</w:t>
            </w:r>
            <w:r w:rsidR="0080649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gaat het gehele team van de Klimboom </w:t>
            </w:r>
            <w:r w:rsidR="00C25BA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mee, </w:t>
            </w:r>
            <w:r w:rsidR="00C25BA1" w:rsidRPr="0080649C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  <w:r w:rsidRPr="0080649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teams in 1 pand en de verschillende schooltijden</w:t>
            </w:r>
            <w:r w:rsidR="00DE65A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etc.</w:t>
            </w:r>
          </w:p>
          <w:p w14:paraId="76B7E2C0" w14:textId="5102A57E" w:rsidR="005402E6" w:rsidRPr="005B78B8" w:rsidRDefault="005402E6" w:rsidP="0080649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Hoe gaat het straks </w:t>
            </w:r>
            <w:r w:rsidR="00440D57">
              <w:rPr>
                <w:rFonts w:ascii="Calibri" w:hAnsi="Calibri"/>
                <w:color w:val="000000" w:themeColor="text1"/>
                <w:sz w:val="20"/>
                <w:szCs w:val="20"/>
              </w:rPr>
              <w:t>praktisch in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 eerste jaren verdelen? </w:t>
            </w:r>
            <w:r w:rsidR="00440D5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Hoe ga je als Teams richten op het </w:t>
            </w:r>
            <w:r w:rsidR="005B78B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aanbod </w:t>
            </w:r>
            <w:r w:rsidR="00F66727">
              <w:rPr>
                <w:rFonts w:ascii="Calibri" w:hAnsi="Calibri"/>
                <w:color w:val="000000" w:themeColor="text1"/>
                <w:sz w:val="20"/>
                <w:szCs w:val="20"/>
              </w:rPr>
              <w:t>i.c.m.</w:t>
            </w:r>
            <w:r w:rsidR="005B78B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 2 verschillende stromingen?</w:t>
            </w:r>
          </w:p>
          <w:p w14:paraId="6B5A417A" w14:textId="6D93BB72" w:rsidR="005B78B8" w:rsidRPr="006618E0" w:rsidRDefault="005B78B8" w:rsidP="0080649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Dit gaat het komende jaar goed besproken moeten worden tussen de Teams, maar ook met de MR en KR</w:t>
            </w:r>
            <w:r w:rsidR="000A1C4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van beide scholen.</w:t>
            </w:r>
          </w:p>
          <w:p w14:paraId="51F1B25A" w14:textId="45D9F2F7" w:rsidR="006618E0" w:rsidRPr="0080649C" w:rsidRDefault="006618E0" w:rsidP="0080649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 presentatie aan de ouders bij de Aventurijn is vanmorgen pittig verlopen. </w:t>
            </w:r>
            <w:r w:rsidR="006838D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Zware sessie geweest met de ouders </w:t>
            </w:r>
            <w:r w:rsidR="005B6CF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en directeur </w:t>
            </w:r>
            <w:r w:rsidR="006838DD">
              <w:rPr>
                <w:rFonts w:ascii="Calibri" w:hAnsi="Calibri"/>
                <w:color w:val="000000" w:themeColor="text1"/>
                <w:sz w:val="20"/>
                <w:szCs w:val="20"/>
              </w:rPr>
              <w:t>van de Aventurijn. Vooral de ‘samenwerking’ tussen de teams en in hetzelfde gebou</w:t>
            </w:r>
            <w:r w:rsidR="009625F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w riep vragen op. Directeur Aventurijn heeft een aantal zaken </w:t>
            </w:r>
            <w:r w:rsidR="007574D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niet slim gecommuniceerd </w:t>
            </w:r>
            <w:proofErr w:type="gramStart"/>
            <w:r w:rsidR="007574DA">
              <w:rPr>
                <w:rFonts w:ascii="Calibri" w:hAnsi="Calibri"/>
                <w:color w:val="000000" w:themeColor="text1"/>
                <w:sz w:val="20"/>
                <w:szCs w:val="20"/>
              </w:rPr>
              <w:t>betreffende</w:t>
            </w:r>
            <w:proofErr w:type="gramEnd"/>
            <w:r w:rsidR="007574D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 kinderopvan</w:t>
            </w:r>
            <w:r w:rsidR="006A46F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g Kiem en Kanteel. </w:t>
            </w:r>
            <w:r w:rsidR="00C763AD">
              <w:rPr>
                <w:rFonts w:ascii="Calibri" w:hAnsi="Calibri"/>
                <w:color w:val="000000" w:themeColor="text1"/>
                <w:sz w:val="20"/>
                <w:szCs w:val="20"/>
              </w:rPr>
              <w:t>Wordt vervolgd.</w:t>
            </w:r>
          </w:p>
        </w:tc>
      </w:tr>
      <w:tr w:rsidR="0025112D" w:rsidRPr="0025112D" w14:paraId="26DCF404" w14:textId="77777777" w:rsidTr="00F66727">
        <w:tc>
          <w:tcPr>
            <w:tcW w:w="473" w:type="dxa"/>
          </w:tcPr>
          <w:p w14:paraId="68CD314E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126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F66727">
        <w:tc>
          <w:tcPr>
            <w:tcW w:w="473" w:type="dxa"/>
          </w:tcPr>
          <w:p w14:paraId="31968BC9" w14:textId="431861DB" w:rsidR="0025112D" w:rsidRPr="000540C9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126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7971" w14:paraId="5C9EB59B" w14:textId="77777777" w:rsidTr="00F66727">
        <w:tc>
          <w:tcPr>
            <w:tcW w:w="473" w:type="dxa"/>
          </w:tcPr>
          <w:p w14:paraId="5350588F" w14:textId="508B4F11" w:rsidR="00377971" w:rsidRPr="000540C9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37797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4C624FAC" w14:textId="1C39257C" w:rsidR="00377971" w:rsidRDefault="0037797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MR huidig schooljaar</w:t>
            </w:r>
          </w:p>
        </w:tc>
        <w:tc>
          <w:tcPr>
            <w:tcW w:w="2126" w:type="dxa"/>
          </w:tcPr>
          <w:p w14:paraId="72975EA3" w14:textId="77777777" w:rsidR="00377971" w:rsidRDefault="00377971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16754C" w14:textId="0F986E43" w:rsidR="00377971" w:rsidRDefault="002A7A1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Afsluiting organiseren? </w:t>
            </w:r>
            <w:r w:rsidR="00C74A6B">
              <w:rPr>
                <w:rFonts w:ascii="Calibri" w:hAnsi="Calibri"/>
                <w:sz w:val="20"/>
                <w:szCs w:val="20"/>
              </w:rPr>
              <w:t>Ergens gaan eten wellicht?</w:t>
            </w:r>
            <w:r w:rsidR="00E062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360BA">
              <w:rPr>
                <w:rFonts w:ascii="Calibri" w:hAnsi="Calibri"/>
                <w:sz w:val="20"/>
                <w:szCs w:val="20"/>
              </w:rPr>
              <w:t xml:space="preserve">Of bbq-en bij </w:t>
            </w:r>
            <w:r w:rsidR="00F66727">
              <w:rPr>
                <w:rFonts w:ascii="Calibri" w:hAnsi="Calibri"/>
                <w:sz w:val="20"/>
                <w:szCs w:val="20"/>
              </w:rPr>
              <w:t>iemand</w:t>
            </w:r>
            <w:r w:rsidR="00A360BA">
              <w:rPr>
                <w:rFonts w:ascii="Calibri" w:hAnsi="Calibri"/>
                <w:sz w:val="20"/>
                <w:szCs w:val="20"/>
              </w:rPr>
              <w:t xml:space="preserve">? </w:t>
            </w:r>
            <w:r w:rsidR="00F66727">
              <w:rPr>
                <w:rFonts w:ascii="Calibri" w:hAnsi="Calibri"/>
                <w:sz w:val="20"/>
                <w:szCs w:val="20"/>
              </w:rPr>
              <w:t>Z.s.m. o</w:t>
            </w:r>
            <w:r w:rsidR="00A360BA">
              <w:rPr>
                <w:rFonts w:ascii="Calibri" w:hAnsi="Calibri"/>
                <w:sz w:val="20"/>
                <w:szCs w:val="20"/>
              </w:rPr>
              <w:t>verleggen en beslissen.</w:t>
            </w:r>
          </w:p>
        </w:tc>
      </w:tr>
      <w:tr w:rsidR="007219F2" w14:paraId="25A16D0B" w14:textId="77777777" w:rsidTr="00F66727">
        <w:tc>
          <w:tcPr>
            <w:tcW w:w="473" w:type="dxa"/>
          </w:tcPr>
          <w:p w14:paraId="075E92F2" w14:textId="1D7F6DD8" w:rsidR="007219F2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7219F2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350" w:type="dxa"/>
          </w:tcPr>
          <w:p w14:paraId="5237F387" w14:textId="4B5C2BC8" w:rsidR="007219F2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speerpunten MR volgend schooljaar</w:t>
            </w:r>
          </w:p>
        </w:tc>
        <w:tc>
          <w:tcPr>
            <w:tcW w:w="2126" w:type="dxa"/>
          </w:tcPr>
          <w:p w14:paraId="478662ED" w14:textId="77777777" w:rsidR="007219F2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8DF29F" w14:textId="29E771AC" w:rsidR="00075715" w:rsidRDefault="00ED04E0" w:rsidP="00F667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Participatie </w:t>
            </w:r>
            <w:r w:rsidR="00D83047">
              <w:rPr>
                <w:rFonts w:ascii="Calibri" w:hAnsi="Calibri"/>
                <w:sz w:val="20"/>
                <w:szCs w:val="20"/>
              </w:rPr>
              <w:t>ontwikkeling IKC West</w:t>
            </w:r>
            <w:r w:rsidR="003408BD">
              <w:rPr>
                <w:rFonts w:ascii="Calibri" w:hAnsi="Calibri"/>
                <w:sz w:val="20"/>
                <w:szCs w:val="20"/>
              </w:rPr>
              <w:t xml:space="preserve"> (Routekaart).</w:t>
            </w:r>
            <w:r w:rsidR="00F667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47241">
              <w:rPr>
                <w:rFonts w:ascii="Calibri" w:hAnsi="Calibri"/>
                <w:sz w:val="20"/>
                <w:szCs w:val="20"/>
              </w:rPr>
              <w:t>Verkiezingen OMR-lid Jaap per 1-9-2022.</w:t>
            </w:r>
            <w:r w:rsidR="00A909EC">
              <w:rPr>
                <w:rFonts w:ascii="Calibri" w:hAnsi="Calibri"/>
                <w:sz w:val="20"/>
                <w:szCs w:val="20"/>
              </w:rPr>
              <w:t xml:space="preserve"> Jaap stelt zich herverkiesbaar.</w:t>
            </w: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5872A2" w14:paraId="212B16A6" w14:textId="77777777" w:rsidTr="000540C9">
        <w:trPr>
          <w:trHeight w:val="168"/>
        </w:trPr>
        <w:tc>
          <w:tcPr>
            <w:tcW w:w="468" w:type="dxa"/>
          </w:tcPr>
          <w:p w14:paraId="21AAEE6A" w14:textId="43D1DA9F" w:rsidR="00707E31" w:rsidRPr="00E0463C" w:rsidRDefault="005872A2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7953D36C" w14:textId="77777777" w:rsidR="00707E31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5872A2">
              <w:rPr>
                <w:rFonts w:ascii="Calibri" w:hAnsi="Calibri"/>
                <w:sz w:val="20"/>
                <w:szCs w:val="20"/>
              </w:rPr>
              <w:t>Aanpassen aftreed-data (P)MR-leden</w:t>
            </w:r>
          </w:p>
          <w:p w14:paraId="68ED8E11" w14:textId="0E1E6EC5" w:rsidR="00E11941" w:rsidRPr="005872A2" w:rsidRDefault="0040115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Verkiezingen MR; 1 OMR-lid</w:t>
            </w:r>
          </w:p>
        </w:tc>
        <w:tc>
          <w:tcPr>
            <w:tcW w:w="1843" w:type="dxa"/>
            <w:shd w:val="clear" w:color="auto" w:fill="auto"/>
          </w:tcPr>
          <w:p w14:paraId="7C70077A" w14:textId="2557EB91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57C191BC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Z.s.m.</w:t>
            </w:r>
          </w:p>
        </w:tc>
        <w:tc>
          <w:tcPr>
            <w:tcW w:w="1522" w:type="dxa"/>
            <w:shd w:val="clear" w:color="auto" w:fill="auto"/>
          </w:tcPr>
          <w:p w14:paraId="39E1A95D" w14:textId="1012BE4D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07E31" w:rsidRPr="005872A2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7934FB20" w:rsidR="00707E31" w:rsidRPr="005872A2" w:rsidRDefault="009F7A69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3797AB87" w14:textId="42CEDF1F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Plannen MR-data 2022-2023</w:t>
            </w:r>
          </w:p>
        </w:tc>
        <w:tc>
          <w:tcPr>
            <w:tcW w:w="1843" w:type="dxa"/>
            <w:shd w:val="clear" w:color="auto" w:fill="auto"/>
          </w:tcPr>
          <w:p w14:paraId="509C2114" w14:textId="0D8FD807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10ADCE3E" w14:textId="232AA712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22-6-2022</w:t>
            </w:r>
          </w:p>
        </w:tc>
        <w:tc>
          <w:tcPr>
            <w:tcW w:w="1522" w:type="dxa"/>
            <w:shd w:val="clear" w:color="auto" w:fill="auto"/>
          </w:tcPr>
          <w:p w14:paraId="76CDC90E" w14:textId="6BA81446" w:rsidR="00707E31" w:rsidRPr="005872A2" w:rsidRDefault="00ED017E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1748B" w:rsidRPr="005872A2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5872A2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Pr="005872A2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2B0D" w:rsidRPr="0087258C" w14:paraId="33C91776" w14:textId="77777777" w:rsidTr="00716D45">
        <w:tc>
          <w:tcPr>
            <w:tcW w:w="1812" w:type="dxa"/>
          </w:tcPr>
          <w:p w14:paraId="4DE6571D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18A8C24A" w14:textId="7C9398E0" w:rsidR="00352B0D" w:rsidRPr="0087258C" w:rsidRDefault="00C25BA1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PMR/</w:t>
            </w:r>
            <w:r w:rsidR="00352B0D" w:rsidRPr="0087258C">
              <w:rPr>
                <w:rFonts w:ascii="Calibri" w:hAnsi="Calibri"/>
                <w:b/>
                <w:bCs/>
                <w:sz w:val="20"/>
                <w:szCs w:val="20"/>
              </w:rPr>
              <w:t xml:space="preserve"> OMR</w:t>
            </w:r>
          </w:p>
        </w:tc>
        <w:tc>
          <w:tcPr>
            <w:tcW w:w="1812" w:type="dxa"/>
          </w:tcPr>
          <w:p w14:paraId="1D3240B1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2BE8756F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0FEDE078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352B0D" w14:paraId="1C22324E" w14:textId="77777777" w:rsidTr="00716D45">
        <w:tc>
          <w:tcPr>
            <w:tcW w:w="1812" w:type="dxa"/>
          </w:tcPr>
          <w:p w14:paraId="4495E8B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460DFFC3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219ADA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4E2813B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72896630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2B0D" w14:paraId="3312E67E" w14:textId="77777777" w:rsidTr="00716D45">
        <w:tc>
          <w:tcPr>
            <w:tcW w:w="1812" w:type="dxa"/>
          </w:tcPr>
          <w:p w14:paraId="66F09F5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381DD7F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6BF33F9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6DDBD01C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24CBA202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2B0D" w14:paraId="239000DC" w14:textId="77777777" w:rsidTr="00716D45">
        <w:tc>
          <w:tcPr>
            <w:tcW w:w="1812" w:type="dxa"/>
          </w:tcPr>
          <w:p w14:paraId="7721395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50A219C5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5C37FF1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1-9-2019</w:t>
            </w:r>
          </w:p>
        </w:tc>
        <w:tc>
          <w:tcPr>
            <w:tcW w:w="1813" w:type="dxa"/>
          </w:tcPr>
          <w:p w14:paraId="6810378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512F6DB1" w14:textId="66FD8662" w:rsidR="00352B0D" w:rsidRDefault="00F66727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Verkiezingen</w:t>
            </w:r>
            <w:r w:rsidR="004C55EB">
              <w:rPr>
                <w:rFonts w:ascii="Calibri" w:hAnsi="Calibri"/>
                <w:sz w:val="20"/>
                <w:szCs w:val="20"/>
              </w:rPr>
              <w:t>!</w:t>
            </w:r>
          </w:p>
        </w:tc>
      </w:tr>
      <w:tr w:rsidR="00352B0D" w14:paraId="4614B8E2" w14:textId="77777777" w:rsidTr="00716D45">
        <w:tc>
          <w:tcPr>
            <w:tcW w:w="1812" w:type="dxa"/>
          </w:tcPr>
          <w:p w14:paraId="667DBE6D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00FF58E2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F017E30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5752D81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2039022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C8D7" w14:textId="77777777" w:rsidR="00F15124" w:rsidRDefault="00F15124">
      <w:r>
        <w:separator/>
      </w:r>
    </w:p>
  </w:endnote>
  <w:endnote w:type="continuationSeparator" w:id="0">
    <w:p w14:paraId="1BB5E601" w14:textId="77777777" w:rsidR="00F15124" w:rsidRDefault="00F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181D" w14:textId="77777777" w:rsidR="00F15124" w:rsidRDefault="00F15124">
      <w:r>
        <w:separator/>
      </w:r>
    </w:p>
  </w:footnote>
  <w:footnote w:type="continuationSeparator" w:id="0">
    <w:p w14:paraId="46178C6B" w14:textId="77777777" w:rsidR="00F15124" w:rsidRDefault="00F1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3DA2AF0B" w:rsidR="004F5495" w:rsidRDefault="004C55EB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Notulen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CE0"/>
    <w:multiLevelType w:val="hybridMultilevel"/>
    <w:tmpl w:val="293654C8"/>
    <w:lvl w:ilvl="0" w:tplc="C7A4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D4B"/>
    <w:multiLevelType w:val="hybridMultilevel"/>
    <w:tmpl w:val="EF9820E6"/>
    <w:lvl w:ilvl="0" w:tplc="E17E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2008B"/>
    <w:multiLevelType w:val="hybridMultilevel"/>
    <w:tmpl w:val="5176A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A616D"/>
    <w:multiLevelType w:val="hybridMultilevel"/>
    <w:tmpl w:val="3C90DFE2"/>
    <w:lvl w:ilvl="0" w:tplc="6BDC4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521CC"/>
    <w:multiLevelType w:val="hybridMultilevel"/>
    <w:tmpl w:val="7A1E3CDE"/>
    <w:lvl w:ilvl="0" w:tplc="8B7A69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C91"/>
    <w:multiLevelType w:val="hybridMultilevel"/>
    <w:tmpl w:val="959CFEF6"/>
    <w:lvl w:ilvl="0" w:tplc="AC44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9718">
    <w:abstractNumId w:val="8"/>
  </w:num>
  <w:num w:numId="2" w16cid:durableId="923495076">
    <w:abstractNumId w:val="5"/>
  </w:num>
  <w:num w:numId="3" w16cid:durableId="1013067425">
    <w:abstractNumId w:val="10"/>
  </w:num>
  <w:num w:numId="4" w16cid:durableId="1825314722">
    <w:abstractNumId w:val="12"/>
  </w:num>
  <w:num w:numId="5" w16cid:durableId="1694570043">
    <w:abstractNumId w:val="1"/>
  </w:num>
  <w:num w:numId="6" w16cid:durableId="414323829">
    <w:abstractNumId w:val="7"/>
  </w:num>
  <w:num w:numId="7" w16cid:durableId="791166396">
    <w:abstractNumId w:val="2"/>
  </w:num>
  <w:num w:numId="8" w16cid:durableId="465661710">
    <w:abstractNumId w:val="0"/>
  </w:num>
  <w:num w:numId="9" w16cid:durableId="738552052">
    <w:abstractNumId w:val="14"/>
  </w:num>
  <w:num w:numId="10" w16cid:durableId="1977877267">
    <w:abstractNumId w:val="9"/>
  </w:num>
  <w:num w:numId="11" w16cid:durableId="1670790901">
    <w:abstractNumId w:val="3"/>
  </w:num>
  <w:num w:numId="12" w16cid:durableId="587664381">
    <w:abstractNumId w:val="4"/>
  </w:num>
  <w:num w:numId="13" w16cid:durableId="869731481">
    <w:abstractNumId w:val="13"/>
  </w:num>
  <w:num w:numId="14" w16cid:durableId="397442713">
    <w:abstractNumId w:val="11"/>
  </w:num>
  <w:num w:numId="15" w16cid:durableId="342362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1B3C"/>
    <w:rsid w:val="0001298D"/>
    <w:rsid w:val="00014931"/>
    <w:rsid w:val="00027197"/>
    <w:rsid w:val="000355F4"/>
    <w:rsid w:val="00042033"/>
    <w:rsid w:val="00047762"/>
    <w:rsid w:val="00050544"/>
    <w:rsid w:val="000540C9"/>
    <w:rsid w:val="00056274"/>
    <w:rsid w:val="00065BB1"/>
    <w:rsid w:val="000661AA"/>
    <w:rsid w:val="000715F8"/>
    <w:rsid w:val="00074A44"/>
    <w:rsid w:val="00075715"/>
    <w:rsid w:val="0008384F"/>
    <w:rsid w:val="00086A4F"/>
    <w:rsid w:val="0008788B"/>
    <w:rsid w:val="000910FF"/>
    <w:rsid w:val="000A1C42"/>
    <w:rsid w:val="000A6B0B"/>
    <w:rsid w:val="000C2794"/>
    <w:rsid w:val="000C62B7"/>
    <w:rsid w:val="000D2327"/>
    <w:rsid w:val="000D3779"/>
    <w:rsid w:val="000D3795"/>
    <w:rsid w:val="000D5231"/>
    <w:rsid w:val="000D667B"/>
    <w:rsid w:val="000E3C79"/>
    <w:rsid w:val="000F0C65"/>
    <w:rsid w:val="001033C3"/>
    <w:rsid w:val="00114551"/>
    <w:rsid w:val="001167C0"/>
    <w:rsid w:val="00124462"/>
    <w:rsid w:val="00126452"/>
    <w:rsid w:val="001265FF"/>
    <w:rsid w:val="001366DE"/>
    <w:rsid w:val="001378EF"/>
    <w:rsid w:val="00140E40"/>
    <w:rsid w:val="0014690D"/>
    <w:rsid w:val="00147691"/>
    <w:rsid w:val="00151870"/>
    <w:rsid w:val="001523D6"/>
    <w:rsid w:val="00153F28"/>
    <w:rsid w:val="001577CC"/>
    <w:rsid w:val="001616B4"/>
    <w:rsid w:val="001646FC"/>
    <w:rsid w:val="001658DF"/>
    <w:rsid w:val="001668DD"/>
    <w:rsid w:val="001806C1"/>
    <w:rsid w:val="00181FDC"/>
    <w:rsid w:val="00182144"/>
    <w:rsid w:val="00185564"/>
    <w:rsid w:val="00192113"/>
    <w:rsid w:val="00194669"/>
    <w:rsid w:val="001A4655"/>
    <w:rsid w:val="001B6020"/>
    <w:rsid w:val="001C28F2"/>
    <w:rsid w:val="001C5333"/>
    <w:rsid w:val="001D2486"/>
    <w:rsid w:val="001D61F9"/>
    <w:rsid w:val="001D6A82"/>
    <w:rsid w:val="001E7CB5"/>
    <w:rsid w:val="001F30C8"/>
    <w:rsid w:val="001F65CF"/>
    <w:rsid w:val="002029F8"/>
    <w:rsid w:val="00210A8C"/>
    <w:rsid w:val="00213B73"/>
    <w:rsid w:val="00214ED1"/>
    <w:rsid w:val="002221AD"/>
    <w:rsid w:val="00226874"/>
    <w:rsid w:val="00234B81"/>
    <w:rsid w:val="00244908"/>
    <w:rsid w:val="00247EA5"/>
    <w:rsid w:val="0025051F"/>
    <w:rsid w:val="0025112D"/>
    <w:rsid w:val="002548F1"/>
    <w:rsid w:val="00256956"/>
    <w:rsid w:val="00260FBE"/>
    <w:rsid w:val="00281524"/>
    <w:rsid w:val="00282CE1"/>
    <w:rsid w:val="002842B1"/>
    <w:rsid w:val="00284F21"/>
    <w:rsid w:val="00291CF9"/>
    <w:rsid w:val="00296B28"/>
    <w:rsid w:val="00297ADB"/>
    <w:rsid w:val="002A7A18"/>
    <w:rsid w:val="002C18C0"/>
    <w:rsid w:val="002C3140"/>
    <w:rsid w:val="002D4562"/>
    <w:rsid w:val="002F4292"/>
    <w:rsid w:val="00301F14"/>
    <w:rsid w:val="00305B1B"/>
    <w:rsid w:val="00305C13"/>
    <w:rsid w:val="003106C7"/>
    <w:rsid w:val="00316E1C"/>
    <w:rsid w:val="0033315C"/>
    <w:rsid w:val="003408BD"/>
    <w:rsid w:val="003429B8"/>
    <w:rsid w:val="00352B0D"/>
    <w:rsid w:val="00354780"/>
    <w:rsid w:val="00360D4E"/>
    <w:rsid w:val="00366428"/>
    <w:rsid w:val="00377971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3D73F5"/>
    <w:rsid w:val="003F4874"/>
    <w:rsid w:val="00401153"/>
    <w:rsid w:val="00404783"/>
    <w:rsid w:val="00406823"/>
    <w:rsid w:val="004112CD"/>
    <w:rsid w:val="00430A3F"/>
    <w:rsid w:val="00437890"/>
    <w:rsid w:val="00440D57"/>
    <w:rsid w:val="00444182"/>
    <w:rsid w:val="0044601E"/>
    <w:rsid w:val="00451D00"/>
    <w:rsid w:val="00453BF6"/>
    <w:rsid w:val="00465F83"/>
    <w:rsid w:val="00473159"/>
    <w:rsid w:val="00473A3C"/>
    <w:rsid w:val="00493A09"/>
    <w:rsid w:val="00497F8F"/>
    <w:rsid w:val="004A1557"/>
    <w:rsid w:val="004A3600"/>
    <w:rsid w:val="004B4AD1"/>
    <w:rsid w:val="004B7D3B"/>
    <w:rsid w:val="004C55EB"/>
    <w:rsid w:val="004F5495"/>
    <w:rsid w:val="004F6122"/>
    <w:rsid w:val="005012EC"/>
    <w:rsid w:val="00503E3D"/>
    <w:rsid w:val="00504473"/>
    <w:rsid w:val="00504B04"/>
    <w:rsid w:val="00520AD4"/>
    <w:rsid w:val="00521A4A"/>
    <w:rsid w:val="00532A7E"/>
    <w:rsid w:val="0053307E"/>
    <w:rsid w:val="00535133"/>
    <w:rsid w:val="005352E9"/>
    <w:rsid w:val="005402E6"/>
    <w:rsid w:val="00543593"/>
    <w:rsid w:val="005457DE"/>
    <w:rsid w:val="00547A23"/>
    <w:rsid w:val="00547B31"/>
    <w:rsid w:val="00554914"/>
    <w:rsid w:val="00556A7C"/>
    <w:rsid w:val="005609C2"/>
    <w:rsid w:val="005825CB"/>
    <w:rsid w:val="00584F17"/>
    <w:rsid w:val="00586CCB"/>
    <w:rsid w:val="005872A2"/>
    <w:rsid w:val="00591B82"/>
    <w:rsid w:val="005932C1"/>
    <w:rsid w:val="00594C47"/>
    <w:rsid w:val="005A163B"/>
    <w:rsid w:val="005B0781"/>
    <w:rsid w:val="005B2B47"/>
    <w:rsid w:val="005B5B7C"/>
    <w:rsid w:val="005B6CF6"/>
    <w:rsid w:val="005B78B8"/>
    <w:rsid w:val="005C23AC"/>
    <w:rsid w:val="005C42ED"/>
    <w:rsid w:val="005C571D"/>
    <w:rsid w:val="005D3D85"/>
    <w:rsid w:val="005E07C4"/>
    <w:rsid w:val="005E3A0F"/>
    <w:rsid w:val="005F462A"/>
    <w:rsid w:val="00602E32"/>
    <w:rsid w:val="00605404"/>
    <w:rsid w:val="00611F06"/>
    <w:rsid w:val="006178A3"/>
    <w:rsid w:val="00621661"/>
    <w:rsid w:val="006308ED"/>
    <w:rsid w:val="00635061"/>
    <w:rsid w:val="006408EC"/>
    <w:rsid w:val="006423F5"/>
    <w:rsid w:val="00644B69"/>
    <w:rsid w:val="00651DD6"/>
    <w:rsid w:val="00653F20"/>
    <w:rsid w:val="00655AE0"/>
    <w:rsid w:val="006618E0"/>
    <w:rsid w:val="00665373"/>
    <w:rsid w:val="00672B76"/>
    <w:rsid w:val="00672EDB"/>
    <w:rsid w:val="00680D9C"/>
    <w:rsid w:val="00681C92"/>
    <w:rsid w:val="006837F8"/>
    <w:rsid w:val="006838DD"/>
    <w:rsid w:val="006903E1"/>
    <w:rsid w:val="006943F8"/>
    <w:rsid w:val="006A0F21"/>
    <w:rsid w:val="006A141E"/>
    <w:rsid w:val="006A46F9"/>
    <w:rsid w:val="006A6985"/>
    <w:rsid w:val="006B533D"/>
    <w:rsid w:val="006B5960"/>
    <w:rsid w:val="006C01FB"/>
    <w:rsid w:val="006E1A9E"/>
    <w:rsid w:val="006E3094"/>
    <w:rsid w:val="006F6909"/>
    <w:rsid w:val="00707973"/>
    <w:rsid w:val="00707E31"/>
    <w:rsid w:val="007110BE"/>
    <w:rsid w:val="00715C70"/>
    <w:rsid w:val="00715D27"/>
    <w:rsid w:val="00716EA0"/>
    <w:rsid w:val="0071748B"/>
    <w:rsid w:val="007219F2"/>
    <w:rsid w:val="00724D93"/>
    <w:rsid w:val="00737BD8"/>
    <w:rsid w:val="007574DA"/>
    <w:rsid w:val="0076417C"/>
    <w:rsid w:val="00770D80"/>
    <w:rsid w:val="00770E8F"/>
    <w:rsid w:val="0077382E"/>
    <w:rsid w:val="007754D6"/>
    <w:rsid w:val="0078291B"/>
    <w:rsid w:val="00786378"/>
    <w:rsid w:val="00795658"/>
    <w:rsid w:val="007A2321"/>
    <w:rsid w:val="007B5D64"/>
    <w:rsid w:val="007C61EA"/>
    <w:rsid w:val="007C671E"/>
    <w:rsid w:val="007C7555"/>
    <w:rsid w:val="007E1F26"/>
    <w:rsid w:val="007E31A5"/>
    <w:rsid w:val="007E7090"/>
    <w:rsid w:val="007F1FD8"/>
    <w:rsid w:val="00802A0F"/>
    <w:rsid w:val="00803232"/>
    <w:rsid w:val="0080649C"/>
    <w:rsid w:val="00814D7E"/>
    <w:rsid w:val="0081678D"/>
    <w:rsid w:val="00816E0A"/>
    <w:rsid w:val="0081782A"/>
    <w:rsid w:val="008178D1"/>
    <w:rsid w:val="00820647"/>
    <w:rsid w:val="00820EDD"/>
    <w:rsid w:val="00830277"/>
    <w:rsid w:val="00847241"/>
    <w:rsid w:val="00847F3F"/>
    <w:rsid w:val="008510B1"/>
    <w:rsid w:val="008679E0"/>
    <w:rsid w:val="00870A78"/>
    <w:rsid w:val="0087258C"/>
    <w:rsid w:val="0087316C"/>
    <w:rsid w:val="00874E99"/>
    <w:rsid w:val="008755F7"/>
    <w:rsid w:val="008905E5"/>
    <w:rsid w:val="008A0BE7"/>
    <w:rsid w:val="008A15C1"/>
    <w:rsid w:val="008B7701"/>
    <w:rsid w:val="008E0B76"/>
    <w:rsid w:val="008E1894"/>
    <w:rsid w:val="008E2000"/>
    <w:rsid w:val="008E3F2B"/>
    <w:rsid w:val="008F3DDE"/>
    <w:rsid w:val="008F45DA"/>
    <w:rsid w:val="00903E53"/>
    <w:rsid w:val="00905EF2"/>
    <w:rsid w:val="00910260"/>
    <w:rsid w:val="00913AB3"/>
    <w:rsid w:val="00913DF9"/>
    <w:rsid w:val="009157DF"/>
    <w:rsid w:val="0091637D"/>
    <w:rsid w:val="00926EB6"/>
    <w:rsid w:val="009302B0"/>
    <w:rsid w:val="00932F2D"/>
    <w:rsid w:val="00936F9F"/>
    <w:rsid w:val="00942939"/>
    <w:rsid w:val="00947CF4"/>
    <w:rsid w:val="00950A0A"/>
    <w:rsid w:val="00951F7E"/>
    <w:rsid w:val="00953988"/>
    <w:rsid w:val="009625FE"/>
    <w:rsid w:val="0098362B"/>
    <w:rsid w:val="00990947"/>
    <w:rsid w:val="009A1077"/>
    <w:rsid w:val="009A6D58"/>
    <w:rsid w:val="009B5DCC"/>
    <w:rsid w:val="009B6C09"/>
    <w:rsid w:val="009C65CA"/>
    <w:rsid w:val="009C7591"/>
    <w:rsid w:val="009D1331"/>
    <w:rsid w:val="009D2D99"/>
    <w:rsid w:val="009F1C77"/>
    <w:rsid w:val="009F7A69"/>
    <w:rsid w:val="00A04E14"/>
    <w:rsid w:val="00A157C2"/>
    <w:rsid w:val="00A22925"/>
    <w:rsid w:val="00A24B63"/>
    <w:rsid w:val="00A309C6"/>
    <w:rsid w:val="00A360BA"/>
    <w:rsid w:val="00A41FB2"/>
    <w:rsid w:val="00A4516D"/>
    <w:rsid w:val="00A516F2"/>
    <w:rsid w:val="00A6630B"/>
    <w:rsid w:val="00A71B56"/>
    <w:rsid w:val="00A74333"/>
    <w:rsid w:val="00A74DFD"/>
    <w:rsid w:val="00A82142"/>
    <w:rsid w:val="00A909EC"/>
    <w:rsid w:val="00A922C8"/>
    <w:rsid w:val="00AB0D12"/>
    <w:rsid w:val="00AB28D6"/>
    <w:rsid w:val="00AB7F29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20768"/>
    <w:rsid w:val="00B30B8F"/>
    <w:rsid w:val="00B32185"/>
    <w:rsid w:val="00B35A43"/>
    <w:rsid w:val="00B4199C"/>
    <w:rsid w:val="00B46B12"/>
    <w:rsid w:val="00B532F8"/>
    <w:rsid w:val="00B56AE8"/>
    <w:rsid w:val="00B869FB"/>
    <w:rsid w:val="00B86B8E"/>
    <w:rsid w:val="00BA61F6"/>
    <w:rsid w:val="00BB69D3"/>
    <w:rsid w:val="00BB6C2F"/>
    <w:rsid w:val="00BC3495"/>
    <w:rsid w:val="00BC5D71"/>
    <w:rsid w:val="00BD01E9"/>
    <w:rsid w:val="00BD0358"/>
    <w:rsid w:val="00BF2CA0"/>
    <w:rsid w:val="00BF67FA"/>
    <w:rsid w:val="00C03D8C"/>
    <w:rsid w:val="00C14F85"/>
    <w:rsid w:val="00C156FF"/>
    <w:rsid w:val="00C20DD9"/>
    <w:rsid w:val="00C25BA1"/>
    <w:rsid w:val="00C366C8"/>
    <w:rsid w:val="00C44CDC"/>
    <w:rsid w:val="00C53986"/>
    <w:rsid w:val="00C57556"/>
    <w:rsid w:val="00C6060D"/>
    <w:rsid w:val="00C648CF"/>
    <w:rsid w:val="00C7191E"/>
    <w:rsid w:val="00C74A6B"/>
    <w:rsid w:val="00C763AD"/>
    <w:rsid w:val="00CA2585"/>
    <w:rsid w:val="00CB0965"/>
    <w:rsid w:val="00CB2B2C"/>
    <w:rsid w:val="00CB7D82"/>
    <w:rsid w:val="00CC507B"/>
    <w:rsid w:val="00CE017F"/>
    <w:rsid w:val="00CE2FD7"/>
    <w:rsid w:val="00CF06A0"/>
    <w:rsid w:val="00D21BFD"/>
    <w:rsid w:val="00D228A2"/>
    <w:rsid w:val="00D22D50"/>
    <w:rsid w:val="00D25B1A"/>
    <w:rsid w:val="00D3680F"/>
    <w:rsid w:val="00D51022"/>
    <w:rsid w:val="00D6156A"/>
    <w:rsid w:val="00D62763"/>
    <w:rsid w:val="00D6353E"/>
    <w:rsid w:val="00D65EF0"/>
    <w:rsid w:val="00D80E62"/>
    <w:rsid w:val="00D83047"/>
    <w:rsid w:val="00D9775F"/>
    <w:rsid w:val="00DA028F"/>
    <w:rsid w:val="00DB0CED"/>
    <w:rsid w:val="00DC4C0C"/>
    <w:rsid w:val="00DE65AB"/>
    <w:rsid w:val="00DF3EE6"/>
    <w:rsid w:val="00E041EF"/>
    <w:rsid w:val="00E0463C"/>
    <w:rsid w:val="00E050BE"/>
    <w:rsid w:val="00E06201"/>
    <w:rsid w:val="00E11941"/>
    <w:rsid w:val="00E13D67"/>
    <w:rsid w:val="00E14A6B"/>
    <w:rsid w:val="00E22DBC"/>
    <w:rsid w:val="00E26C61"/>
    <w:rsid w:val="00E401E3"/>
    <w:rsid w:val="00E72C82"/>
    <w:rsid w:val="00E92731"/>
    <w:rsid w:val="00E92BC0"/>
    <w:rsid w:val="00E93171"/>
    <w:rsid w:val="00E9368E"/>
    <w:rsid w:val="00ED017E"/>
    <w:rsid w:val="00ED04E0"/>
    <w:rsid w:val="00EE1B37"/>
    <w:rsid w:val="00EF2868"/>
    <w:rsid w:val="00EF3065"/>
    <w:rsid w:val="00EF4DDF"/>
    <w:rsid w:val="00F02BAE"/>
    <w:rsid w:val="00F1487A"/>
    <w:rsid w:val="00F15124"/>
    <w:rsid w:val="00F201DC"/>
    <w:rsid w:val="00F252EA"/>
    <w:rsid w:val="00F25DA0"/>
    <w:rsid w:val="00F31BA7"/>
    <w:rsid w:val="00F4001B"/>
    <w:rsid w:val="00F40636"/>
    <w:rsid w:val="00F44B94"/>
    <w:rsid w:val="00F6367B"/>
    <w:rsid w:val="00F64DDD"/>
    <w:rsid w:val="00F66727"/>
    <w:rsid w:val="00F67EC7"/>
    <w:rsid w:val="00F74DED"/>
    <w:rsid w:val="00F75B16"/>
    <w:rsid w:val="00F80D6B"/>
    <w:rsid w:val="00F86D7A"/>
    <w:rsid w:val="00F875FC"/>
    <w:rsid w:val="00F91A6D"/>
    <w:rsid w:val="00F94C69"/>
    <w:rsid w:val="00F96DE3"/>
    <w:rsid w:val="00FA0CE3"/>
    <w:rsid w:val="00FA2AC1"/>
    <w:rsid w:val="00FA7A33"/>
    <w:rsid w:val="00FC1BFA"/>
    <w:rsid w:val="00FC40CE"/>
    <w:rsid w:val="00FC431D"/>
    <w:rsid w:val="00FC53CB"/>
    <w:rsid w:val="00FC5D7F"/>
    <w:rsid w:val="00FC6C72"/>
    <w:rsid w:val="00FF75A7"/>
    <w:rsid w:val="49B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entemaashorst.nl/inwoners/projecten/ikc-west-integraal-kind-centr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12</cp:revision>
  <cp:lastPrinted>2019-02-25T06:50:00Z</cp:lastPrinted>
  <dcterms:created xsi:type="dcterms:W3CDTF">2022-07-04T11:29:00Z</dcterms:created>
  <dcterms:modified xsi:type="dcterms:W3CDTF">2022-07-04T11:40:00Z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